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5B7D" w:rsidRPr="00E46517" w:rsidRDefault="00A52AC2" w:rsidP="00E46517">
      <w:pPr>
        <w:pStyle w:val="1"/>
        <w:widowControl/>
        <w:spacing w:beforeAutospacing="0" w:afterLines="50" w:after="156" w:afterAutospacing="0" w:line="180" w:lineRule="atLeast"/>
        <w:rPr>
          <w:rFonts w:ascii="黑体" w:eastAsia="黑体" w:hAnsi="黑体" w:cs="黑体" w:hint="default"/>
          <w:b w:val="0"/>
          <w:bCs w:val="0"/>
          <w:color w:val="000000"/>
          <w:sz w:val="28"/>
          <w:szCs w:val="28"/>
        </w:rPr>
      </w:pPr>
      <w:r w:rsidRPr="00E46517">
        <w:rPr>
          <w:rFonts w:ascii="黑体" w:eastAsia="黑体" w:hAnsi="黑体" w:cs="黑体"/>
          <w:b w:val="0"/>
          <w:bCs w:val="0"/>
          <w:color w:val="000000"/>
          <w:sz w:val="28"/>
          <w:szCs w:val="28"/>
        </w:rPr>
        <w:t>附件1</w:t>
      </w:r>
    </w:p>
    <w:p w:rsidR="00645B7D" w:rsidRPr="00E46517" w:rsidRDefault="00A52AC2" w:rsidP="00E46517">
      <w:pPr>
        <w:pStyle w:val="1"/>
        <w:widowControl/>
        <w:spacing w:beforeAutospacing="0" w:afterAutospacing="0" w:line="180" w:lineRule="atLeast"/>
        <w:jc w:val="center"/>
        <w:rPr>
          <w:rFonts w:ascii="方正小标宋简体" w:eastAsia="方正小标宋简体" w:hAnsi="黑体" w:cs="黑体"/>
          <w:b w:val="0"/>
          <w:bCs w:val="0"/>
          <w:color w:val="000000"/>
          <w:sz w:val="36"/>
          <w:szCs w:val="36"/>
        </w:rPr>
      </w:pPr>
      <w:r w:rsidRPr="00E46517">
        <w:rPr>
          <w:rFonts w:ascii="方正小标宋简体" w:eastAsia="方正小标宋简体" w:hAnsi="黑体" w:cs="黑体"/>
          <w:b w:val="0"/>
          <w:bCs w:val="0"/>
          <w:color w:val="000000"/>
          <w:sz w:val="36"/>
          <w:szCs w:val="36"/>
        </w:rPr>
        <w:t>印尼国际煤炭及能源工业博览会（ICEE）重点内容</w:t>
      </w:r>
    </w:p>
    <w:p w:rsidR="00645B7D" w:rsidRDefault="00A52AC2">
      <w:pPr>
        <w:pStyle w:val="2"/>
        <w:widowControl/>
        <w:spacing w:beforeAutospacing="0" w:afterAutospacing="0" w:line="180" w:lineRule="atLeast"/>
        <w:rPr>
          <w:rFonts w:ascii="黑体" w:eastAsia="黑体" w:hAnsi="黑体" w:cs="黑体" w:hint="default"/>
          <w:color w:val="000000"/>
          <w:sz w:val="28"/>
          <w:szCs w:val="28"/>
        </w:rPr>
      </w:pPr>
      <w:r>
        <w:rPr>
          <w:rFonts w:ascii="黑体" w:eastAsia="黑体" w:hAnsi="黑体" w:cs="黑体"/>
          <w:color w:val="000000"/>
          <w:sz w:val="28"/>
          <w:szCs w:val="28"/>
        </w:rPr>
        <w:t>一、展会概况</w:t>
      </w:r>
    </w:p>
    <w:p w:rsidR="00645B7D" w:rsidRDefault="00A52AC2">
      <w:pPr>
        <w:pStyle w:val="3"/>
        <w:widowControl/>
        <w:spacing w:beforeAutospacing="0" w:afterAutospacing="0" w:line="180" w:lineRule="atLeast"/>
        <w:rPr>
          <w:rFonts w:ascii="黑体" w:eastAsia="黑体" w:hAnsi="黑体" w:cs="黑体" w:hint="default"/>
          <w:color w:val="000000"/>
          <w:sz w:val="28"/>
          <w:szCs w:val="28"/>
        </w:rPr>
      </w:pPr>
      <w:r>
        <w:rPr>
          <w:rFonts w:ascii="黑体" w:eastAsia="黑体" w:hAnsi="黑体" w:cs="黑体"/>
          <w:color w:val="000000"/>
          <w:sz w:val="28"/>
          <w:szCs w:val="28"/>
        </w:rPr>
        <w:t>（一）2026 年展会信息</w:t>
      </w:r>
    </w:p>
    <w:p w:rsidR="00645B7D" w:rsidRDefault="00A52AC2">
      <w:pPr>
        <w:widowControl/>
        <w:numPr>
          <w:ilvl w:val="0"/>
          <w:numId w:val="1"/>
        </w:numPr>
        <w:spacing w:line="180" w:lineRule="atLeast"/>
        <w:ind w:left="0"/>
        <w:rPr>
          <w:rFonts w:ascii="黑体" w:eastAsia="黑体" w:hAnsi="黑体" w:cs="黑体"/>
          <w:color w:val="000000"/>
          <w:sz w:val="28"/>
          <w:szCs w:val="28"/>
        </w:rPr>
      </w:pPr>
      <w:r>
        <w:rPr>
          <w:rStyle w:val="a5"/>
          <w:rFonts w:ascii="黑体" w:eastAsia="黑体" w:hAnsi="黑体" w:cs="黑体" w:hint="eastAsia"/>
          <w:bCs/>
          <w:color w:val="000000"/>
          <w:sz w:val="28"/>
          <w:szCs w:val="28"/>
        </w:rPr>
        <w:t>展会名称</w:t>
      </w:r>
      <w:r>
        <w:rPr>
          <w:rFonts w:ascii="黑体" w:eastAsia="黑体" w:hAnsi="黑体" w:cs="黑体" w:hint="eastAsia"/>
          <w:color w:val="000000"/>
          <w:sz w:val="28"/>
          <w:szCs w:val="28"/>
        </w:rPr>
        <w:t>：印尼国际煤炭及能源工业博览会（ICEE）</w:t>
      </w:r>
    </w:p>
    <w:p w:rsidR="00645B7D" w:rsidRDefault="00A52AC2">
      <w:pPr>
        <w:widowControl/>
        <w:numPr>
          <w:ilvl w:val="0"/>
          <w:numId w:val="1"/>
        </w:numPr>
        <w:spacing w:line="180" w:lineRule="atLeast"/>
        <w:ind w:left="0"/>
        <w:rPr>
          <w:rFonts w:ascii="黑体" w:eastAsia="黑体" w:hAnsi="黑体" w:cs="黑体"/>
          <w:color w:val="000000"/>
          <w:sz w:val="28"/>
          <w:szCs w:val="28"/>
        </w:rPr>
      </w:pPr>
      <w:r>
        <w:rPr>
          <w:rStyle w:val="a5"/>
          <w:rFonts w:ascii="黑体" w:eastAsia="黑体" w:hAnsi="黑体" w:cs="黑体" w:hint="eastAsia"/>
          <w:bCs/>
          <w:color w:val="000000"/>
          <w:sz w:val="28"/>
          <w:szCs w:val="28"/>
        </w:rPr>
        <w:t>举办时间</w:t>
      </w:r>
      <w:r>
        <w:rPr>
          <w:rFonts w:ascii="黑体" w:eastAsia="黑体" w:hAnsi="黑体" w:cs="黑体" w:hint="eastAsia"/>
          <w:color w:val="000000"/>
          <w:sz w:val="28"/>
          <w:szCs w:val="28"/>
        </w:rPr>
        <w:t>：2026 年</w:t>
      </w:r>
      <w:bookmarkStart w:id="0" w:name="_GoBack"/>
      <w:bookmarkEnd w:id="0"/>
      <w:r>
        <w:rPr>
          <w:rFonts w:ascii="黑体" w:eastAsia="黑体" w:hAnsi="黑体" w:cs="黑体" w:hint="eastAsia"/>
          <w:color w:val="000000"/>
          <w:sz w:val="28"/>
          <w:szCs w:val="28"/>
        </w:rPr>
        <w:t xml:space="preserve"> 5 月 11-13 日</w:t>
      </w:r>
    </w:p>
    <w:p w:rsidR="00645B7D" w:rsidRDefault="00A52AC2">
      <w:pPr>
        <w:widowControl/>
        <w:numPr>
          <w:ilvl w:val="0"/>
          <w:numId w:val="1"/>
        </w:numPr>
        <w:spacing w:line="180" w:lineRule="atLeast"/>
        <w:ind w:left="0"/>
        <w:rPr>
          <w:rFonts w:ascii="黑体" w:eastAsia="黑体" w:hAnsi="黑体" w:cs="黑体"/>
          <w:color w:val="000000"/>
          <w:sz w:val="28"/>
          <w:szCs w:val="28"/>
        </w:rPr>
      </w:pPr>
      <w:r>
        <w:rPr>
          <w:rStyle w:val="a5"/>
          <w:rFonts w:ascii="黑体" w:eastAsia="黑体" w:hAnsi="黑体" w:cs="黑体" w:hint="eastAsia"/>
          <w:bCs/>
          <w:color w:val="000000"/>
          <w:sz w:val="28"/>
          <w:szCs w:val="28"/>
        </w:rPr>
        <w:t>举办地点</w:t>
      </w:r>
      <w:r>
        <w:rPr>
          <w:rFonts w:ascii="黑体" w:eastAsia="黑体" w:hAnsi="黑体" w:cs="黑体" w:hint="eastAsia"/>
          <w:color w:val="000000"/>
          <w:sz w:val="28"/>
          <w:szCs w:val="28"/>
        </w:rPr>
        <w:t>：雅加达国际展览中心</w:t>
      </w:r>
    </w:p>
    <w:p w:rsidR="00645B7D" w:rsidRDefault="00A52AC2">
      <w:pPr>
        <w:widowControl/>
        <w:numPr>
          <w:ilvl w:val="0"/>
          <w:numId w:val="1"/>
        </w:numPr>
        <w:spacing w:line="180" w:lineRule="atLeast"/>
        <w:ind w:left="0"/>
        <w:rPr>
          <w:rFonts w:ascii="黑体" w:eastAsia="黑体" w:hAnsi="黑体" w:cs="黑体"/>
          <w:color w:val="000000"/>
          <w:sz w:val="28"/>
          <w:szCs w:val="28"/>
        </w:rPr>
      </w:pPr>
      <w:r>
        <w:rPr>
          <w:rStyle w:val="a5"/>
          <w:rFonts w:ascii="黑体" w:eastAsia="黑体" w:hAnsi="黑体" w:cs="黑体" w:hint="eastAsia"/>
          <w:bCs/>
          <w:color w:val="000000"/>
          <w:sz w:val="28"/>
          <w:szCs w:val="28"/>
        </w:rPr>
        <w:t>展会定位</w:t>
      </w:r>
      <w:r>
        <w:rPr>
          <w:rFonts w:ascii="黑体" w:eastAsia="黑体" w:hAnsi="黑体" w:cs="黑体" w:hint="eastAsia"/>
          <w:color w:val="000000"/>
          <w:sz w:val="28"/>
          <w:szCs w:val="28"/>
        </w:rPr>
        <w:t>：持续推动印尼深化能源转型，构建更具韧性、更有活力、更可持续的东南亚能源产业生态，为全球能源转型提供更具针对性的解决方案。</w:t>
      </w:r>
    </w:p>
    <w:p w:rsidR="00645B7D" w:rsidRDefault="00A52AC2">
      <w:pPr>
        <w:pStyle w:val="3"/>
        <w:widowControl/>
        <w:spacing w:beforeAutospacing="0" w:afterAutospacing="0" w:line="180" w:lineRule="atLeast"/>
        <w:rPr>
          <w:rFonts w:ascii="黑体" w:eastAsia="黑体" w:hAnsi="黑体" w:cs="黑体" w:hint="default"/>
          <w:color w:val="000000"/>
          <w:sz w:val="28"/>
          <w:szCs w:val="28"/>
        </w:rPr>
      </w:pPr>
      <w:r>
        <w:rPr>
          <w:rFonts w:ascii="黑体" w:eastAsia="黑体" w:hAnsi="黑体" w:cs="黑体"/>
          <w:color w:val="000000"/>
          <w:sz w:val="28"/>
          <w:szCs w:val="28"/>
        </w:rPr>
        <w:t>（二）首届展会（2025 年）回顾</w:t>
      </w:r>
    </w:p>
    <w:p w:rsidR="00645B7D" w:rsidRDefault="00A52AC2">
      <w:pPr>
        <w:widowControl/>
        <w:numPr>
          <w:ilvl w:val="0"/>
          <w:numId w:val="2"/>
        </w:numPr>
        <w:spacing w:line="180" w:lineRule="atLeast"/>
        <w:ind w:left="0"/>
        <w:rPr>
          <w:rFonts w:ascii="黑体" w:eastAsia="黑体" w:hAnsi="黑体" w:cs="黑体"/>
          <w:color w:val="000000"/>
          <w:sz w:val="28"/>
          <w:szCs w:val="28"/>
        </w:rPr>
      </w:pPr>
      <w:r>
        <w:rPr>
          <w:rStyle w:val="a5"/>
          <w:rFonts w:ascii="黑体" w:eastAsia="黑体" w:hAnsi="黑体" w:cs="黑体" w:hint="eastAsia"/>
          <w:bCs/>
          <w:color w:val="000000"/>
          <w:sz w:val="28"/>
          <w:szCs w:val="28"/>
        </w:rPr>
        <w:t>展览面积</w:t>
      </w:r>
      <w:r>
        <w:rPr>
          <w:rFonts w:ascii="黑体" w:eastAsia="黑体" w:hAnsi="黑体" w:cs="黑体" w:hint="eastAsia"/>
          <w:color w:val="000000"/>
          <w:sz w:val="28"/>
          <w:szCs w:val="28"/>
        </w:rPr>
        <w:t>：15,000㎡</w:t>
      </w:r>
    </w:p>
    <w:p w:rsidR="00645B7D" w:rsidRDefault="00A52AC2">
      <w:pPr>
        <w:widowControl/>
        <w:numPr>
          <w:ilvl w:val="0"/>
          <w:numId w:val="2"/>
        </w:numPr>
        <w:spacing w:line="180" w:lineRule="atLeast"/>
        <w:ind w:left="0"/>
        <w:rPr>
          <w:rFonts w:ascii="黑体" w:eastAsia="黑体" w:hAnsi="黑体" w:cs="黑体"/>
          <w:color w:val="000000"/>
          <w:sz w:val="28"/>
          <w:szCs w:val="28"/>
        </w:rPr>
      </w:pPr>
      <w:r>
        <w:rPr>
          <w:rStyle w:val="a5"/>
          <w:rFonts w:ascii="黑体" w:eastAsia="黑体" w:hAnsi="黑体" w:cs="黑体" w:hint="eastAsia"/>
          <w:bCs/>
          <w:color w:val="000000"/>
          <w:sz w:val="28"/>
          <w:szCs w:val="28"/>
        </w:rPr>
        <w:t>参展企业</w:t>
      </w:r>
      <w:r>
        <w:rPr>
          <w:rFonts w:ascii="黑体" w:eastAsia="黑体" w:hAnsi="黑体" w:cs="黑体" w:hint="eastAsia"/>
          <w:color w:val="000000"/>
          <w:sz w:val="28"/>
          <w:szCs w:val="28"/>
        </w:rPr>
        <w:t>：120 余家，包括世界 500 强企业、国际知名能源企业、中国 500 强企业、专精特新企业及印尼本地能源企业。</w:t>
      </w:r>
    </w:p>
    <w:p w:rsidR="00645B7D" w:rsidRDefault="00A52AC2">
      <w:pPr>
        <w:widowControl/>
        <w:numPr>
          <w:ilvl w:val="0"/>
          <w:numId w:val="2"/>
        </w:numPr>
        <w:spacing w:line="180" w:lineRule="atLeast"/>
        <w:ind w:left="0"/>
        <w:rPr>
          <w:rFonts w:ascii="黑体" w:eastAsia="黑体" w:hAnsi="黑体" w:cs="黑体"/>
          <w:color w:val="000000"/>
          <w:sz w:val="28"/>
          <w:szCs w:val="28"/>
        </w:rPr>
      </w:pPr>
      <w:r>
        <w:rPr>
          <w:rStyle w:val="a5"/>
          <w:rFonts w:ascii="黑体" w:eastAsia="黑体" w:hAnsi="黑体" w:cs="黑体" w:hint="eastAsia"/>
          <w:bCs/>
          <w:color w:val="000000"/>
          <w:sz w:val="28"/>
          <w:szCs w:val="28"/>
        </w:rPr>
        <w:t>专业观众</w:t>
      </w:r>
      <w:r>
        <w:rPr>
          <w:rFonts w:ascii="黑体" w:eastAsia="黑体" w:hAnsi="黑体" w:cs="黑体" w:hint="eastAsia"/>
          <w:color w:val="000000"/>
          <w:sz w:val="28"/>
          <w:szCs w:val="28"/>
        </w:rPr>
        <w:t>：1.1 万人次，400 余家本地采购商到场洽谈。</w:t>
      </w:r>
    </w:p>
    <w:p w:rsidR="00645B7D" w:rsidRDefault="00A52AC2">
      <w:pPr>
        <w:widowControl/>
        <w:numPr>
          <w:ilvl w:val="0"/>
          <w:numId w:val="2"/>
        </w:numPr>
        <w:spacing w:line="180" w:lineRule="atLeast"/>
        <w:ind w:left="0"/>
        <w:rPr>
          <w:rFonts w:ascii="黑体" w:eastAsia="黑体" w:hAnsi="黑体" w:cs="黑体"/>
          <w:color w:val="000000"/>
          <w:sz w:val="28"/>
          <w:szCs w:val="28"/>
        </w:rPr>
      </w:pPr>
      <w:r>
        <w:rPr>
          <w:rStyle w:val="a5"/>
          <w:rFonts w:ascii="黑体" w:eastAsia="黑体" w:hAnsi="黑体" w:cs="黑体" w:hint="eastAsia"/>
          <w:bCs/>
          <w:color w:val="000000"/>
          <w:sz w:val="28"/>
          <w:szCs w:val="28"/>
        </w:rPr>
        <w:t>展会意义</w:t>
      </w:r>
      <w:r>
        <w:rPr>
          <w:rFonts w:ascii="黑体" w:eastAsia="黑体" w:hAnsi="黑体" w:cs="黑体" w:hint="eastAsia"/>
          <w:color w:val="000000"/>
          <w:sz w:val="28"/>
          <w:szCs w:val="28"/>
        </w:rPr>
        <w:t>：成功打造印尼首个煤炭能源领域全产业链博览会，为印尼、东南亚乃至全球能源转型搭建起专业高效的展示交流合作平台。</w:t>
      </w:r>
    </w:p>
    <w:p w:rsidR="00645B7D" w:rsidRDefault="00645B7D">
      <w:pPr>
        <w:pStyle w:val="2"/>
        <w:widowControl/>
        <w:spacing w:beforeAutospacing="0" w:afterAutospacing="0" w:line="180" w:lineRule="atLeast"/>
        <w:rPr>
          <w:rFonts w:ascii="黑体" w:eastAsia="黑体" w:hAnsi="黑体" w:cs="黑体" w:hint="default"/>
          <w:color w:val="000000"/>
          <w:sz w:val="28"/>
          <w:szCs w:val="28"/>
        </w:rPr>
      </w:pPr>
    </w:p>
    <w:p w:rsidR="00645B7D" w:rsidRDefault="00A52AC2">
      <w:pPr>
        <w:pStyle w:val="2"/>
        <w:widowControl/>
        <w:spacing w:beforeAutospacing="0" w:afterAutospacing="0" w:line="180" w:lineRule="atLeast"/>
        <w:rPr>
          <w:rFonts w:ascii="黑体" w:eastAsia="黑体" w:hAnsi="黑体" w:cs="黑体" w:hint="default"/>
          <w:color w:val="000000"/>
          <w:sz w:val="28"/>
          <w:szCs w:val="28"/>
        </w:rPr>
      </w:pPr>
      <w:r>
        <w:rPr>
          <w:rFonts w:ascii="黑体" w:eastAsia="黑体" w:hAnsi="黑体" w:cs="黑体"/>
          <w:color w:val="000000"/>
          <w:sz w:val="28"/>
          <w:szCs w:val="28"/>
        </w:rPr>
        <w:t>二、印尼国家与资源概况</w:t>
      </w:r>
    </w:p>
    <w:p w:rsidR="00645B7D" w:rsidRDefault="00A52AC2">
      <w:pPr>
        <w:pStyle w:val="3"/>
        <w:widowControl/>
        <w:spacing w:beforeAutospacing="0" w:afterAutospacing="0" w:line="180" w:lineRule="atLeast"/>
        <w:rPr>
          <w:rFonts w:ascii="黑体" w:eastAsia="黑体" w:hAnsi="黑体" w:cs="黑体" w:hint="default"/>
          <w:color w:val="000000"/>
          <w:sz w:val="28"/>
          <w:szCs w:val="28"/>
        </w:rPr>
      </w:pPr>
      <w:r>
        <w:rPr>
          <w:rFonts w:ascii="黑体" w:eastAsia="黑体" w:hAnsi="黑体" w:cs="黑体"/>
          <w:color w:val="000000"/>
          <w:sz w:val="28"/>
          <w:szCs w:val="28"/>
        </w:rPr>
        <w:t>（一）国家概况</w:t>
      </w:r>
    </w:p>
    <w:p w:rsidR="00645B7D" w:rsidRDefault="00A52AC2">
      <w:pPr>
        <w:widowControl/>
        <w:numPr>
          <w:ilvl w:val="0"/>
          <w:numId w:val="3"/>
        </w:numPr>
        <w:spacing w:line="180" w:lineRule="atLeast"/>
        <w:ind w:left="0"/>
        <w:rPr>
          <w:rFonts w:ascii="黑体" w:eastAsia="黑体" w:hAnsi="黑体" w:cs="黑体"/>
          <w:color w:val="000000"/>
          <w:sz w:val="28"/>
          <w:szCs w:val="28"/>
        </w:rPr>
      </w:pPr>
      <w:r>
        <w:rPr>
          <w:rStyle w:val="a5"/>
          <w:rFonts w:ascii="黑体" w:eastAsia="黑体" w:hAnsi="黑体" w:cs="黑体" w:hint="eastAsia"/>
          <w:bCs/>
          <w:color w:val="000000"/>
          <w:sz w:val="28"/>
          <w:szCs w:val="28"/>
        </w:rPr>
        <w:lastRenderedPageBreak/>
        <w:t>地理位置</w:t>
      </w:r>
      <w:r>
        <w:rPr>
          <w:rFonts w:ascii="黑体" w:eastAsia="黑体" w:hAnsi="黑体" w:cs="黑体" w:hint="eastAsia"/>
          <w:color w:val="000000"/>
          <w:sz w:val="28"/>
          <w:szCs w:val="28"/>
        </w:rPr>
        <w:t>：位于东南亚，横跨赤道，是东南亚和大洋洲之间的群岛国家，由 17,000 多个岛屿组成，总面积 1,913,578 平方公里，为世界面积第 14 大国家。</w:t>
      </w:r>
    </w:p>
    <w:p w:rsidR="00645B7D" w:rsidRDefault="00A52AC2">
      <w:pPr>
        <w:widowControl/>
        <w:numPr>
          <w:ilvl w:val="0"/>
          <w:numId w:val="3"/>
        </w:numPr>
        <w:spacing w:line="180" w:lineRule="atLeast"/>
        <w:ind w:left="0"/>
        <w:rPr>
          <w:rFonts w:ascii="黑体" w:eastAsia="黑体" w:hAnsi="黑体" w:cs="黑体"/>
          <w:color w:val="000000"/>
          <w:sz w:val="28"/>
          <w:szCs w:val="28"/>
        </w:rPr>
      </w:pPr>
      <w:r>
        <w:rPr>
          <w:rStyle w:val="a5"/>
          <w:rFonts w:ascii="黑体" w:eastAsia="黑体" w:hAnsi="黑体" w:cs="黑体" w:hint="eastAsia"/>
          <w:bCs/>
          <w:color w:val="000000"/>
          <w:sz w:val="28"/>
          <w:szCs w:val="28"/>
        </w:rPr>
        <w:t>人口与民族</w:t>
      </w:r>
      <w:r>
        <w:rPr>
          <w:rFonts w:ascii="黑体" w:eastAsia="黑体" w:hAnsi="黑体" w:cs="黑体" w:hint="eastAsia"/>
          <w:color w:val="000000"/>
          <w:sz w:val="28"/>
          <w:szCs w:val="28"/>
        </w:rPr>
        <w:t>：人口约 2.81 亿，为世界第四人口大国，爪哇族占比最大（约 45%）。</w:t>
      </w:r>
    </w:p>
    <w:p w:rsidR="00645B7D" w:rsidRDefault="00A52AC2">
      <w:pPr>
        <w:widowControl/>
        <w:numPr>
          <w:ilvl w:val="0"/>
          <w:numId w:val="3"/>
        </w:numPr>
        <w:spacing w:line="180" w:lineRule="atLeast"/>
        <w:ind w:left="0"/>
        <w:rPr>
          <w:rFonts w:ascii="黑体" w:eastAsia="黑体" w:hAnsi="黑体" w:cs="黑体"/>
          <w:color w:val="000000"/>
          <w:sz w:val="28"/>
          <w:szCs w:val="28"/>
        </w:rPr>
      </w:pPr>
      <w:r>
        <w:rPr>
          <w:rStyle w:val="a5"/>
          <w:rFonts w:ascii="黑体" w:eastAsia="黑体" w:hAnsi="黑体" w:cs="黑体" w:hint="eastAsia"/>
          <w:bCs/>
          <w:color w:val="000000"/>
          <w:sz w:val="28"/>
          <w:szCs w:val="28"/>
        </w:rPr>
        <w:t>语言与宗教</w:t>
      </w:r>
      <w:r>
        <w:rPr>
          <w:rFonts w:ascii="黑体" w:eastAsia="黑体" w:hAnsi="黑体" w:cs="黑体" w:hint="eastAsia"/>
          <w:color w:val="000000"/>
          <w:sz w:val="28"/>
          <w:szCs w:val="28"/>
        </w:rPr>
        <w:t>：官方语言为印尼语，约 87% 人口信奉伊斯兰教，是世界穆斯林人口最多的国家。</w:t>
      </w:r>
    </w:p>
    <w:p w:rsidR="00645B7D" w:rsidRDefault="00A52AC2">
      <w:pPr>
        <w:widowControl/>
        <w:numPr>
          <w:ilvl w:val="0"/>
          <w:numId w:val="3"/>
        </w:numPr>
        <w:spacing w:line="180" w:lineRule="atLeast"/>
        <w:ind w:left="0"/>
        <w:rPr>
          <w:rFonts w:ascii="黑体" w:eastAsia="黑体" w:hAnsi="黑体" w:cs="黑体"/>
          <w:color w:val="000000"/>
          <w:sz w:val="28"/>
          <w:szCs w:val="28"/>
        </w:rPr>
      </w:pPr>
      <w:r>
        <w:rPr>
          <w:rStyle w:val="a5"/>
          <w:rFonts w:ascii="黑体" w:eastAsia="黑体" w:hAnsi="黑体" w:cs="黑体" w:hint="eastAsia"/>
          <w:bCs/>
          <w:color w:val="000000"/>
          <w:sz w:val="28"/>
          <w:szCs w:val="28"/>
        </w:rPr>
        <w:t>经济地位</w:t>
      </w:r>
      <w:r>
        <w:rPr>
          <w:rFonts w:ascii="黑体" w:eastAsia="黑体" w:hAnsi="黑体" w:cs="黑体" w:hint="eastAsia"/>
          <w:color w:val="000000"/>
          <w:sz w:val="28"/>
          <w:szCs w:val="28"/>
        </w:rPr>
        <w:t>：东南亚最大经济体，2024 年 GDP 总量约 1.39 万亿美元，占东南亚 GDP 总量 1/3 以上，自然资源丰富，产业结构多元。</w:t>
      </w:r>
    </w:p>
    <w:p w:rsidR="00645B7D" w:rsidRDefault="00A52AC2">
      <w:pPr>
        <w:pStyle w:val="3"/>
        <w:widowControl/>
        <w:spacing w:beforeAutospacing="0" w:afterAutospacing="0" w:line="180" w:lineRule="atLeast"/>
        <w:rPr>
          <w:rFonts w:ascii="黑体" w:eastAsia="黑体" w:hAnsi="黑体" w:cs="黑体" w:hint="default"/>
          <w:color w:val="000000"/>
          <w:sz w:val="28"/>
          <w:szCs w:val="28"/>
        </w:rPr>
      </w:pPr>
      <w:r>
        <w:rPr>
          <w:rFonts w:ascii="黑体" w:eastAsia="黑体" w:hAnsi="黑体" w:cs="黑体"/>
          <w:color w:val="000000"/>
          <w:sz w:val="28"/>
          <w:szCs w:val="28"/>
        </w:rPr>
        <w:t>（二）核心资源优势</w:t>
      </w:r>
    </w:p>
    <w:p w:rsidR="00645B7D" w:rsidRDefault="00A52AC2">
      <w:pPr>
        <w:widowControl/>
        <w:numPr>
          <w:ilvl w:val="0"/>
          <w:numId w:val="4"/>
        </w:numPr>
        <w:spacing w:line="180" w:lineRule="atLeast"/>
        <w:ind w:left="0"/>
        <w:rPr>
          <w:rFonts w:ascii="黑体" w:eastAsia="黑体" w:hAnsi="黑体" w:cs="黑体"/>
          <w:color w:val="000000"/>
          <w:sz w:val="28"/>
          <w:szCs w:val="28"/>
        </w:rPr>
      </w:pPr>
      <w:r>
        <w:rPr>
          <w:rStyle w:val="a5"/>
          <w:rFonts w:ascii="黑体" w:eastAsia="黑体" w:hAnsi="黑体" w:cs="黑体" w:hint="eastAsia"/>
          <w:bCs/>
          <w:color w:val="000000"/>
          <w:sz w:val="28"/>
          <w:szCs w:val="28"/>
        </w:rPr>
        <w:t>煤炭资源</w:t>
      </w:r>
    </w:p>
    <w:p w:rsidR="00645B7D" w:rsidRDefault="00A52AC2">
      <w:pPr>
        <w:widowControl/>
        <w:numPr>
          <w:ilvl w:val="1"/>
          <w:numId w:val="5"/>
        </w:numPr>
        <w:spacing w:line="180" w:lineRule="atLeast"/>
        <w:ind w:left="0"/>
        <w:rPr>
          <w:rFonts w:ascii="黑体" w:eastAsia="黑体" w:hAnsi="黑体" w:cs="黑体"/>
          <w:color w:val="000000"/>
          <w:sz w:val="28"/>
          <w:szCs w:val="28"/>
        </w:rPr>
      </w:pPr>
      <w:r>
        <w:rPr>
          <w:rFonts w:ascii="黑体" w:eastAsia="黑体" w:hAnsi="黑体" w:cs="黑体" w:hint="eastAsia"/>
          <w:color w:val="000000"/>
          <w:sz w:val="28"/>
          <w:szCs w:val="28"/>
        </w:rPr>
        <w:t>全球第一大煤炭出口国、第三大煤炭生产国。</w:t>
      </w:r>
    </w:p>
    <w:p w:rsidR="00645B7D" w:rsidRDefault="00A52AC2">
      <w:pPr>
        <w:widowControl/>
        <w:numPr>
          <w:ilvl w:val="1"/>
          <w:numId w:val="5"/>
        </w:numPr>
        <w:spacing w:line="180" w:lineRule="atLeast"/>
        <w:ind w:left="0"/>
        <w:rPr>
          <w:rFonts w:ascii="黑体" w:eastAsia="黑体" w:hAnsi="黑体" w:cs="黑体"/>
          <w:color w:val="000000"/>
          <w:sz w:val="28"/>
          <w:szCs w:val="28"/>
        </w:rPr>
      </w:pPr>
      <w:r>
        <w:rPr>
          <w:rFonts w:ascii="黑体" w:eastAsia="黑体" w:hAnsi="黑体" w:cs="黑体" w:hint="eastAsia"/>
          <w:color w:val="000000"/>
          <w:sz w:val="28"/>
          <w:szCs w:val="28"/>
        </w:rPr>
        <w:t>2024 年煤炭出口量 55,775.58 万吨（同比 + 7.0%），产量 8.36 亿吨（同比 + 7.9%）。</w:t>
      </w:r>
    </w:p>
    <w:p w:rsidR="00645B7D" w:rsidRDefault="00A52AC2">
      <w:pPr>
        <w:widowControl/>
        <w:numPr>
          <w:ilvl w:val="1"/>
          <w:numId w:val="5"/>
        </w:numPr>
        <w:spacing w:line="180" w:lineRule="atLeast"/>
        <w:ind w:left="0"/>
        <w:rPr>
          <w:rFonts w:ascii="黑体" w:eastAsia="黑体" w:hAnsi="黑体" w:cs="黑体"/>
          <w:color w:val="000000"/>
          <w:sz w:val="28"/>
          <w:szCs w:val="28"/>
        </w:rPr>
      </w:pPr>
      <w:r>
        <w:rPr>
          <w:rFonts w:ascii="黑体" w:eastAsia="黑体" w:hAnsi="黑体" w:cs="黑体" w:hint="eastAsia"/>
          <w:color w:val="000000"/>
          <w:sz w:val="28"/>
          <w:szCs w:val="28"/>
        </w:rPr>
        <w:t>煤炭储量约 400 亿吨（中国煤炭储量约 2,185 亿吨，印尼占全球总量 3.2%，位列第七），品质好、热值高，主要分布在苏门答腊和加里曼丹。</w:t>
      </w:r>
    </w:p>
    <w:p w:rsidR="00645B7D" w:rsidRDefault="00A52AC2">
      <w:pPr>
        <w:widowControl/>
        <w:numPr>
          <w:ilvl w:val="0"/>
          <w:numId w:val="4"/>
        </w:numPr>
        <w:spacing w:line="180" w:lineRule="atLeast"/>
        <w:ind w:left="0"/>
        <w:rPr>
          <w:rFonts w:ascii="黑体" w:eastAsia="黑体" w:hAnsi="黑体" w:cs="黑体"/>
          <w:color w:val="000000"/>
          <w:sz w:val="28"/>
          <w:szCs w:val="28"/>
        </w:rPr>
      </w:pPr>
      <w:r>
        <w:rPr>
          <w:rStyle w:val="a5"/>
          <w:rFonts w:ascii="黑体" w:eastAsia="黑体" w:hAnsi="黑体" w:cs="黑体" w:hint="eastAsia"/>
          <w:bCs/>
          <w:color w:val="000000"/>
          <w:sz w:val="28"/>
          <w:szCs w:val="28"/>
        </w:rPr>
        <w:t>其他矿产资源</w:t>
      </w:r>
    </w:p>
    <w:p w:rsidR="00645B7D" w:rsidRDefault="00A52AC2">
      <w:pPr>
        <w:widowControl/>
        <w:numPr>
          <w:ilvl w:val="1"/>
          <w:numId w:val="6"/>
        </w:numPr>
        <w:spacing w:line="180" w:lineRule="atLeast"/>
        <w:ind w:left="0"/>
        <w:rPr>
          <w:rFonts w:ascii="黑体" w:eastAsia="黑体" w:hAnsi="黑体" w:cs="黑体"/>
          <w:color w:val="000000"/>
          <w:sz w:val="28"/>
          <w:szCs w:val="28"/>
        </w:rPr>
      </w:pPr>
      <w:r>
        <w:rPr>
          <w:rStyle w:val="a5"/>
          <w:rFonts w:ascii="黑体" w:eastAsia="黑体" w:hAnsi="黑体" w:cs="黑体" w:hint="eastAsia"/>
          <w:bCs/>
          <w:color w:val="000000"/>
          <w:sz w:val="28"/>
          <w:szCs w:val="28"/>
        </w:rPr>
        <w:t>镍矿与锡矿</w:t>
      </w:r>
      <w:r>
        <w:rPr>
          <w:rFonts w:ascii="黑体" w:eastAsia="黑体" w:hAnsi="黑体" w:cs="黑体" w:hint="eastAsia"/>
          <w:color w:val="000000"/>
          <w:sz w:val="28"/>
          <w:szCs w:val="28"/>
        </w:rPr>
        <w:t>：镍矿资源在全球市场占据重要地位，主要分布在苏拉威西岛等地，对全球不锈钢产业影响深远。</w:t>
      </w:r>
    </w:p>
    <w:p w:rsidR="00645B7D" w:rsidRDefault="00A52AC2">
      <w:pPr>
        <w:widowControl/>
        <w:numPr>
          <w:ilvl w:val="1"/>
          <w:numId w:val="6"/>
        </w:numPr>
        <w:spacing w:line="180" w:lineRule="atLeast"/>
        <w:ind w:left="0"/>
        <w:rPr>
          <w:rFonts w:ascii="黑体" w:eastAsia="黑体" w:hAnsi="黑体" w:cs="黑体"/>
          <w:color w:val="000000"/>
          <w:sz w:val="28"/>
          <w:szCs w:val="28"/>
        </w:rPr>
      </w:pPr>
      <w:r>
        <w:rPr>
          <w:rStyle w:val="a5"/>
          <w:rFonts w:ascii="黑体" w:eastAsia="黑体" w:hAnsi="黑体" w:cs="黑体" w:hint="eastAsia"/>
          <w:bCs/>
          <w:color w:val="000000"/>
          <w:sz w:val="28"/>
          <w:szCs w:val="28"/>
        </w:rPr>
        <w:t>铜矿、金矿与铁矿</w:t>
      </w:r>
      <w:r>
        <w:rPr>
          <w:rFonts w:ascii="黑体" w:eastAsia="黑体" w:hAnsi="黑体" w:cs="黑体" w:hint="eastAsia"/>
          <w:color w:val="000000"/>
          <w:sz w:val="28"/>
          <w:szCs w:val="28"/>
        </w:rPr>
        <w:t>：储量丰富，矿产开采与利用为印尼带来巨大经济效益，推动相关产业发展。</w:t>
      </w:r>
    </w:p>
    <w:p w:rsidR="00645B7D" w:rsidRDefault="00645B7D">
      <w:pPr>
        <w:pStyle w:val="2"/>
        <w:widowControl/>
        <w:spacing w:beforeAutospacing="0" w:afterAutospacing="0" w:line="180" w:lineRule="atLeast"/>
        <w:rPr>
          <w:rFonts w:ascii="黑体" w:eastAsia="黑体" w:hAnsi="黑体" w:cs="黑体" w:hint="default"/>
          <w:color w:val="000000"/>
          <w:sz w:val="28"/>
          <w:szCs w:val="28"/>
        </w:rPr>
      </w:pPr>
    </w:p>
    <w:p w:rsidR="00645B7D" w:rsidRDefault="00A52AC2">
      <w:pPr>
        <w:pStyle w:val="2"/>
        <w:widowControl/>
        <w:spacing w:beforeAutospacing="0" w:afterAutospacing="0" w:line="180" w:lineRule="atLeast"/>
        <w:rPr>
          <w:rFonts w:ascii="黑体" w:eastAsia="黑体" w:hAnsi="黑体" w:cs="黑体" w:hint="default"/>
          <w:color w:val="000000"/>
          <w:sz w:val="28"/>
          <w:szCs w:val="28"/>
        </w:rPr>
      </w:pPr>
      <w:r>
        <w:rPr>
          <w:rFonts w:ascii="黑体" w:eastAsia="黑体" w:hAnsi="黑体" w:cs="黑体"/>
          <w:color w:val="000000"/>
          <w:sz w:val="28"/>
          <w:szCs w:val="28"/>
        </w:rPr>
        <w:t>三、观众地域分布</w:t>
      </w:r>
    </w:p>
    <w:p w:rsidR="00645B7D" w:rsidRDefault="00A52AC2">
      <w:pPr>
        <w:widowControl/>
        <w:spacing w:line="180" w:lineRule="atLeast"/>
        <w:jc w:val="left"/>
        <w:rPr>
          <w:rFonts w:ascii="黑体" w:eastAsia="黑体" w:hAnsi="黑体" w:cs="黑体"/>
          <w:color w:val="000000"/>
          <w:sz w:val="28"/>
          <w:szCs w:val="28"/>
        </w:rPr>
      </w:pPr>
      <w:r>
        <w:rPr>
          <w:rFonts w:ascii="黑体" w:eastAsia="黑体" w:hAnsi="黑体" w:cs="黑体" w:hint="eastAsia"/>
          <w:color w:val="000000"/>
          <w:kern w:val="0"/>
          <w:sz w:val="28"/>
          <w:szCs w:val="28"/>
          <w:lang w:bidi="ar"/>
        </w:rPr>
        <w:t>展会观众覆盖全球六大洲，主要来源包括：</w:t>
      </w:r>
    </w:p>
    <w:p w:rsidR="00645B7D" w:rsidRDefault="00A52AC2">
      <w:pPr>
        <w:widowControl/>
        <w:numPr>
          <w:ilvl w:val="0"/>
          <w:numId w:val="7"/>
        </w:numPr>
        <w:spacing w:line="180" w:lineRule="atLeast"/>
        <w:ind w:left="0"/>
        <w:rPr>
          <w:rFonts w:ascii="黑体" w:eastAsia="黑体" w:hAnsi="黑体" w:cs="黑体"/>
          <w:color w:val="000000"/>
          <w:sz w:val="28"/>
          <w:szCs w:val="28"/>
        </w:rPr>
      </w:pPr>
      <w:r>
        <w:rPr>
          <w:rStyle w:val="a5"/>
          <w:rFonts w:ascii="黑体" w:eastAsia="黑体" w:hAnsi="黑体" w:cs="黑体" w:hint="eastAsia"/>
          <w:bCs/>
          <w:color w:val="000000"/>
          <w:sz w:val="28"/>
          <w:szCs w:val="28"/>
        </w:rPr>
        <w:t>亚洲</w:t>
      </w:r>
      <w:r>
        <w:rPr>
          <w:rFonts w:ascii="黑体" w:eastAsia="黑体" w:hAnsi="黑体" w:cs="黑体" w:hint="eastAsia"/>
          <w:color w:val="000000"/>
          <w:sz w:val="28"/>
          <w:szCs w:val="28"/>
        </w:rPr>
        <w:t>：印度尼西亚、中国、新加坡、马来西亚、印度、阿富汗、韩国、日本、叙利亚、泰国、东帝汶、阿联酋、巴基斯坦等。</w:t>
      </w:r>
    </w:p>
    <w:p w:rsidR="00645B7D" w:rsidRDefault="00A52AC2">
      <w:pPr>
        <w:widowControl/>
        <w:numPr>
          <w:ilvl w:val="0"/>
          <w:numId w:val="7"/>
        </w:numPr>
        <w:spacing w:line="180" w:lineRule="atLeast"/>
        <w:ind w:left="0"/>
        <w:rPr>
          <w:rFonts w:ascii="黑体" w:eastAsia="黑体" w:hAnsi="黑体" w:cs="黑体"/>
          <w:color w:val="000000"/>
          <w:sz w:val="28"/>
          <w:szCs w:val="28"/>
        </w:rPr>
      </w:pPr>
      <w:r>
        <w:rPr>
          <w:rStyle w:val="a5"/>
          <w:rFonts w:ascii="黑体" w:eastAsia="黑体" w:hAnsi="黑体" w:cs="黑体" w:hint="eastAsia"/>
          <w:bCs/>
          <w:color w:val="000000"/>
          <w:sz w:val="28"/>
          <w:szCs w:val="28"/>
        </w:rPr>
        <w:t>欧洲</w:t>
      </w:r>
      <w:r>
        <w:rPr>
          <w:rFonts w:ascii="黑体" w:eastAsia="黑体" w:hAnsi="黑体" w:cs="黑体" w:hint="eastAsia"/>
          <w:color w:val="000000"/>
          <w:sz w:val="28"/>
          <w:szCs w:val="28"/>
        </w:rPr>
        <w:t>：阿尔巴尼亚、挪威、英国、卢森堡等。</w:t>
      </w:r>
    </w:p>
    <w:p w:rsidR="00645B7D" w:rsidRDefault="00A52AC2">
      <w:pPr>
        <w:widowControl/>
        <w:numPr>
          <w:ilvl w:val="0"/>
          <w:numId w:val="7"/>
        </w:numPr>
        <w:spacing w:line="180" w:lineRule="atLeast"/>
        <w:ind w:left="0"/>
        <w:rPr>
          <w:rFonts w:ascii="黑体" w:eastAsia="黑体" w:hAnsi="黑体" w:cs="黑体"/>
          <w:color w:val="000000"/>
          <w:sz w:val="28"/>
          <w:szCs w:val="28"/>
        </w:rPr>
      </w:pPr>
      <w:r>
        <w:rPr>
          <w:rStyle w:val="a5"/>
          <w:rFonts w:ascii="黑体" w:eastAsia="黑体" w:hAnsi="黑体" w:cs="黑体" w:hint="eastAsia"/>
          <w:bCs/>
          <w:color w:val="000000"/>
          <w:sz w:val="28"/>
          <w:szCs w:val="28"/>
        </w:rPr>
        <w:t>非洲</w:t>
      </w:r>
      <w:r>
        <w:rPr>
          <w:rFonts w:ascii="黑体" w:eastAsia="黑体" w:hAnsi="黑体" w:cs="黑体" w:hint="eastAsia"/>
          <w:color w:val="000000"/>
          <w:sz w:val="28"/>
          <w:szCs w:val="28"/>
        </w:rPr>
        <w:t>：阿森松岛、阿尔及利亚、安哥拉、博茨瓦纳等。</w:t>
      </w:r>
    </w:p>
    <w:p w:rsidR="00645B7D" w:rsidRDefault="00A52AC2">
      <w:pPr>
        <w:widowControl/>
        <w:numPr>
          <w:ilvl w:val="0"/>
          <w:numId w:val="7"/>
        </w:numPr>
        <w:spacing w:line="180" w:lineRule="atLeast"/>
        <w:ind w:left="0"/>
        <w:rPr>
          <w:rFonts w:ascii="黑体" w:eastAsia="黑体" w:hAnsi="黑体" w:cs="黑体"/>
          <w:color w:val="000000"/>
          <w:sz w:val="28"/>
          <w:szCs w:val="28"/>
        </w:rPr>
      </w:pPr>
      <w:r>
        <w:rPr>
          <w:rStyle w:val="a5"/>
          <w:rFonts w:ascii="黑体" w:eastAsia="黑体" w:hAnsi="黑体" w:cs="黑体" w:hint="eastAsia"/>
          <w:bCs/>
          <w:color w:val="000000"/>
          <w:sz w:val="28"/>
          <w:szCs w:val="28"/>
        </w:rPr>
        <w:t>北美洲</w:t>
      </w:r>
      <w:r>
        <w:rPr>
          <w:rFonts w:ascii="黑体" w:eastAsia="黑体" w:hAnsi="黑体" w:cs="黑体" w:hint="eastAsia"/>
          <w:color w:val="000000"/>
          <w:sz w:val="28"/>
          <w:szCs w:val="28"/>
        </w:rPr>
        <w:t>：阿鲁巴。</w:t>
      </w:r>
    </w:p>
    <w:p w:rsidR="00645B7D" w:rsidRDefault="00A52AC2">
      <w:pPr>
        <w:widowControl/>
        <w:numPr>
          <w:ilvl w:val="0"/>
          <w:numId w:val="7"/>
        </w:numPr>
        <w:spacing w:line="180" w:lineRule="atLeast"/>
        <w:ind w:left="0"/>
        <w:rPr>
          <w:rFonts w:ascii="黑体" w:eastAsia="黑体" w:hAnsi="黑体" w:cs="黑体"/>
          <w:color w:val="000000"/>
          <w:sz w:val="28"/>
          <w:szCs w:val="28"/>
        </w:rPr>
      </w:pPr>
      <w:r>
        <w:rPr>
          <w:rStyle w:val="a5"/>
          <w:rFonts w:ascii="黑体" w:eastAsia="黑体" w:hAnsi="黑体" w:cs="黑体" w:hint="eastAsia"/>
          <w:bCs/>
          <w:color w:val="000000"/>
          <w:sz w:val="28"/>
          <w:szCs w:val="28"/>
        </w:rPr>
        <w:t>南美洲</w:t>
      </w:r>
      <w:r>
        <w:rPr>
          <w:rFonts w:ascii="黑体" w:eastAsia="黑体" w:hAnsi="黑体" w:cs="黑体" w:hint="eastAsia"/>
          <w:color w:val="000000"/>
          <w:sz w:val="28"/>
          <w:szCs w:val="28"/>
        </w:rPr>
        <w:t>：阿根廷、巴西、秘鲁等。</w:t>
      </w:r>
    </w:p>
    <w:p w:rsidR="00645B7D" w:rsidRDefault="00A52AC2">
      <w:pPr>
        <w:widowControl/>
        <w:numPr>
          <w:ilvl w:val="0"/>
          <w:numId w:val="7"/>
        </w:numPr>
        <w:spacing w:line="180" w:lineRule="atLeast"/>
        <w:ind w:left="0"/>
        <w:rPr>
          <w:rFonts w:ascii="黑体" w:eastAsia="黑体" w:hAnsi="黑体" w:cs="黑体"/>
          <w:color w:val="000000"/>
          <w:sz w:val="28"/>
          <w:szCs w:val="28"/>
        </w:rPr>
      </w:pPr>
      <w:r>
        <w:rPr>
          <w:rStyle w:val="a5"/>
          <w:rFonts w:ascii="黑体" w:eastAsia="黑体" w:hAnsi="黑体" w:cs="黑体" w:hint="eastAsia"/>
          <w:bCs/>
          <w:color w:val="000000"/>
          <w:sz w:val="28"/>
          <w:szCs w:val="28"/>
        </w:rPr>
        <w:t>大洋洲</w:t>
      </w:r>
      <w:r>
        <w:rPr>
          <w:rFonts w:ascii="黑体" w:eastAsia="黑体" w:hAnsi="黑体" w:cs="黑体" w:hint="eastAsia"/>
          <w:color w:val="000000"/>
          <w:sz w:val="28"/>
          <w:szCs w:val="28"/>
        </w:rPr>
        <w:t>：巴布亚新几内亚、澳大利亚等。</w:t>
      </w:r>
    </w:p>
    <w:p w:rsidR="00645B7D" w:rsidRDefault="00645B7D">
      <w:pPr>
        <w:pStyle w:val="2"/>
        <w:widowControl/>
        <w:spacing w:beforeAutospacing="0" w:afterAutospacing="0" w:line="180" w:lineRule="atLeast"/>
        <w:rPr>
          <w:rFonts w:ascii="黑体" w:eastAsia="黑体" w:hAnsi="黑体" w:cs="黑体" w:hint="default"/>
          <w:color w:val="000000"/>
          <w:sz w:val="28"/>
          <w:szCs w:val="28"/>
        </w:rPr>
      </w:pPr>
    </w:p>
    <w:p w:rsidR="00645B7D" w:rsidRDefault="00A52AC2">
      <w:pPr>
        <w:pStyle w:val="2"/>
        <w:widowControl/>
        <w:spacing w:beforeAutospacing="0" w:afterAutospacing="0" w:line="180" w:lineRule="atLeast"/>
        <w:rPr>
          <w:rFonts w:ascii="黑体" w:eastAsia="黑体" w:hAnsi="黑体" w:cs="黑体" w:hint="default"/>
          <w:color w:val="000000"/>
          <w:sz w:val="28"/>
          <w:szCs w:val="28"/>
        </w:rPr>
      </w:pPr>
      <w:r>
        <w:rPr>
          <w:rFonts w:ascii="黑体" w:eastAsia="黑体" w:hAnsi="黑体" w:cs="黑体"/>
          <w:color w:val="000000"/>
          <w:sz w:val="28"/>
          <w:szCs w:val="28"/>
        </w:rPr>
        <w:t>四、展示范围（8 大板块）</w:t>
      </w:r>
    </w:p>
    <w:p w:rsidR="00645B7D" w:rsidRDefault="00A52AC2">
      <w:pPr>
        <w:widowControl/>
        <w:numPr>
          <w:ilvl w:val="0"/>
          <w:numId w:val="8"/>
        </w:numPr>
        <w:spacing w:line="180" w:lineRule="atLeast"/>
        <w:ind w:left="0"/>
        <w:rPr>
          <w:rFonts w:ascii="黑体" w:eastAsia="黑体" w:hAnsi="黑体" w:cs="黑体"/>
          <w:color w:val="000000"/>
          <w:sz w:val="28"/>
          <w:szCs w:val="28"/>
        </w:rPr>
      </w:pPr>
      <w:r>
        <w:rPr>
          <w:rStyle w:val="a5"/>
          <w:rFonts w:ascii="黑体" w:eastAsia="黑体" w:hAnsi="黑体" w:cs="黑体" w:hint="eastAsia"/>
          <w:bCs/>
          <w:color w:val="000000"/>
          <w:sz w:val="28"/>
          <w:szCs w:val="28"/>
        </w:rPr>
        <w:t>露天采矿装备与技术</w:t>
      </w:r>
      <w:r>
        <w:rPr>
          <w:rFonts w:ascii="黑体" w:eastAsia="黑体" w:hAnsi="黑体" w:cs="黑体" w:hint="eastAsia"/>
          <w:color w:val="000000"/>
          <w:sz w:val="28"/>
          <w:szCs w:val="28"/>
        </w:rPr>
        <w:t>：露天采煤机、电铲、液压挖掘机、轮斗挖掘机、钻车、钻机、装载机、铲运机、旋回发电机组、破碎设备、筛分设备、矿山粉磨、液压传动等装备与技术。</w:t>
      </w:r>
    </w:p>
    <w:p w:rsidR="00645B7D" w:rsidRDefault="00A52AC2">
      <w:pPr>
        <w:widowControl/>
        <w:numPr>
          <w:ilvl w:val="0"/>
          <w:numId w:val="8"/>
        </w:numPr>
        <w:spacing w:line="180" w:lineRule="atLeast"/>
        <w:ind w:left="0"/>
        <w:rPr>
          <w:rFonts w:ascii="黑体" w:eastAsia="黑体" w:hAnsi="黑体" w:cs="黑体"/>
          <w:color w:val="000000"/>
          <w:sz w:val="28"/>
          <w:szCs w:val="28"/>
        </w:rPr>
      </w:pPr>
      <w:r>
        <w:rPr>
          <w:rStyle w:val="a5"/>
          <w:rFonts w:ascii="黑体" w:eastAsia="黑体" w:hAnsi="黑体" w:cs="黑体" w:hint="eastAsia"/>
          <w:bCs/>
          <w:color w:val="000000"/>
          <w:sz w:val="28"/>
          <w:szCs w:val="28"/>
        </w:rPr>
        <w:t>井工采矿装备与技术</w:t>
      </w:r>
      <w:r>
        <w:rPr>
          <w:rFonts w:ascii="黑体" w:eastAsia="黑体" w:hAnsi="黑体" w:cs="黑体" w:hint="eastAsia"/>
          <w:color w:val="000000"/>
          <w:sz w:val="28"/>
          <w:szCs w:val="28"/>
        </w:rPr>
        <w:t>：采煤机、掘进机、刮板输送机、液压支架、辅助运输、矿井提升、支护机具、煤矿机电与动力、煤矿辅助生产系统、自动化控制和煤矿智能化装备与技术等。</w:t>
      </w:r>
    </w:p>
    <w:p w:rsidR="00645B7D" w:rsidRDefault="00A52AC2">
      <w:pPr>
        <w:widowControl/>
        <w:numPr>
          <w:ilvl w:val="0"/>
          <w:numId w:val="8"/>
        </w:numPr>
        <w:spacing w:line="180" w:lineRule="atLeast"/>
        <w:ind w:left="0"/>
        <w:rPr>
          <w:rFonts w:ascii="黑体" w:eastAsia="黑体" w:hAnsi="黑体" w:cs="黑体"/>
          <w:color w:val="000000"/>
          <w:sz w:val="28"/>
          <w:szCs w:val="28"/>
        </w:rPr>
      </w:pPr>
      <w:r>
        <w:rPr>
          <w:rStyle w:val="a5"/>
          <w:rFonts w:ascii="黑体" w:eastAsia="黑体" w:hAnsi="黑体" w:cs="黑体" w:hint="eastAsia"/>
          <w:bCs/>
          <w:color w:val="000000"/>
          <w:sz w:val="28"/>
          <w:szCs w:val="28"/>
        </w:rPr>
        <w:t>煤炭加工利用装备与技术</w:t>
      </w:r>
      <w:r>
        <w:rPr>
          <w:rFonts w:ascii="黑体" w:eastAsia="黑体" w:hAnsi="黑体" w:cs="黑体" w:hint="eastAsia"/>
          <w:color w:val="000000"/>
          <w:sz w:val="28"/>
          <w:szCs w:val="28"/>
        </w:rPr>
        <w:t>：筛分设备、智能干选设备、智能煤矸分选机器人、筛板、除尘、压滤机、跳汰机、浮选机、重介质旋流器、煤化工、煤制油、洁净煤装备与技术等。</w:t>
      </w:r>
    </w:p>
    <w:p w:rsidR="00645B7D" w:rsidRDefault="00A52AC2">
      <w:pPr>
        <w:widowControl/>
        <w:numPr>
          <w:ilvl w:val="0"/>
          <w:numId w:val="8"/>
        </w:numPr>
        <w:spacing w:line="180" w:lineRule="atLeast"/>
        <w:ind w:left="0"/>
        <w:rPr>
          <w:rFonts w:ascii="黑体" w:eastAsia="黑体" w:hAnsi="黑体" w:cs="黑体"/>
          <w:color w:val="000000"/>
          <w:sz w:val="28"/>
          <w:szCs w:val="28"/>
        </w:rPr>
      </w:pPr>
      <w:r>
        <w:rPr>
          <w:rStyle w:val="a5"/>
          <w:rFonts w:ascii="黑体" w:eastAsia="黑体" w:hAnsi="黑体" w:cs="黑体" w:hint="eastAsia"/>
          <w:bCs/>
          <w:color w:val="000000"/>
          <w:sz w:val="28"/>
          <w:szCs w:val="28"/>
        </w:rPr>
        <w:lastRenderedPageBreak/>
        <w:t>煤炭物流运输装备与技术</w:t>
      </w:r>
      <w:r>
        <w:rPr>
          <w:rFonts w:ascii="黑体" w:eastAsia="黑体" w:hAnsi="黑体" w:cs="黑体" w:hint="eastAsia"/>
          <w:color w:val="000000"/>
          <w:sz w:val="28"/>
          <w:szCs w:val="28"/>
        </w:rPr>
        <w:t>：矿用卡车、船舶、电动宽体车、矿用自卸汽车、传送设备、零配件、运维等。</w:t>
      </w:r>
    </w:p>
    <w:p w:rsidR="00645B7D" w:rsidRDefault="00A52AC2">
      <w:pPr>
        <w:widowControl/>
        <w:numPr>
          <w:ilvl w:val="0"/>
          <w:numId w:val="8"/>
        </w:numPr>
        <w:spacing w:line="180" w:lineRule="atLeast"/>
        <w:ind w:left="0"/>
        <w:rPr>
          <w:rFonts w:ascii="黑体" w:eastAsia="黑体" w:hAnsi="黑体" w:cs="黑体"/>
          <w:color w:val="000000"/>
          <w:sz w:val="28"/>
          <w:szCs w:val="28"/>
        </w:rPr>
      </w:pPr>
      <w:r>
        <w:rPr>
          <w:rStyle w:val="a5"/>
          <w:rFonts w:ascii="黑体" w:eastAsia="黑体" w:hAnsi="黑体" w:cs="黑体" w:hint="eastAsia"/>
          <w:bCs/>
          <w:color w:val="000000"/>
          <w:sz w:val="28"/>
          <w:szCs w:val="28"/>
        </w:rPr>
        <w:t>绿色矿山智能装备与技术</w:t>
      </w:r>
      <w:r>
        <w:rPr>
          <w:rFonts w:ascii="黑体" w:eastAsia="黑体" w:hAnsi="黑体" w:cs="黑体" w:hint="eastAsia"/>
          <w:color w:val="000000"/>
          <w:sz w:val="28"/>
          <w:szCs w:val="28"/>
        </w:rPr>
        <w:t>：矿井运输无人系统、全自动装车系统、矿山光伏、仓储设备及软件系统、智慧物流大数据管理平台、物联网平台与追踪系统、通讯设备、环境治理、矿用泵阀、通风、地质灾害预防与治理装备等。</w:t>
      </w:r>
    </w:p>
    <w:p w:rsidR="00645B7D" w:rsidRDefault="00A52AC2">
      <w:pPr>
        <w:widowControl/>
        <w:numPr>
          <w:ilvl w:val="0"/>
          <w:numId w:val="8"/>
        </w:numPr>
        <w:spacing w:line="180" w:lineRule="atLeast"/>
        <w:ind w:left="0"/>
        <w:rPr>
          <w:rFonts w:ascii="黑体" w:eastAsia="黑体" w:hAnsi="黑体" w:cs="黑体"/>
          <w:color w:val="000000"/>
          <w:sz w:val="28"/>
          <w:szCs w:val="28"/>
        </w:rPr>
      </w:pPr>
      <w:r>
        <w:rPr>
          <w:rStyle w:val="a5"/>
          <w:rFonts w:ascii="黑体" w:eastAsia="黑体" w:hAnsi="黑体" w:cs="黑体" w:hint="eastAsia"/>
          <w:bCs/>
          <w:color w:val="000000"/>
          <w:sz w:val="28"/>
          <w:szCs w:val="28"/>
        </w:rPr>
        <w:t>矿山服务与工程</w:t>
      </w:r>
      <w:r>
        <w:rPr>
          <w:rFonts w:ascii="黑体" w:eastAsia="黑体" w:hAnsi="黑体" w:cs="黑体" w:hint="eastAsia"/>
          <w:color w:val="000000"/>
          <w:sz w:val="28"/>
          <w:szCs w:val="28"/>
        </w:rPr>
        <w:t>：地质勘探、矿山测量、矿井建设、工程承包、托管运营、工程设计、咨询服务、代理贸易、煤机电商等。</w:t>
      </w:r>
    </w:p>
    <w:p w:rsidR="00645B7D" w:rsidRDefault="00A52AC2">
      <w:pPr>
        <w:widowControl/>
        <w:numPr>
          <w:ilvl w:val="0"/>
          <w:numId w:val="8"/>
        </w:numPr>
        <w:spacing w:line="180" w:lineRule="atLeast"/>
        <w:ind w:left="0"/>
        <w:rPr>
          <w:rFonts w:ascii="黑体" w:eastAsia="黑体" w:hAnsi="黑体" w:cs="黑体"/>
          <w:color w:val="000000"/>
          <w:sz w:val="28"/>
          <w:szCs w:val="28"/>
        </w:rPr>
      </w:pPr>
      <w:r>
        <w:rPr>
          <w:rStyle w:val="a5"/>
          <w:rFonts w:ascii="黑体" w:eastAsia="黑体" w:hAnsi="黑体" w:cs="黑体" w:hint="eastAsia"/>
          <w:bCs/>
          <w:color w:val="000000"/>
          <w:sz w:val="28"/>
          <w:szCs w:val="28"/>
        </w:rPr>
        <w:t>大型企业形象展示</w:t>
      </w:r>
      <w:r>
        <w:rPr>
          <w:rFonts w:ascii="黑体" w:eastAsia="黑体" w:hAnsi="黑体" w:cs="黑体" w:hint="eastAsia"/>
          <w:color w:val="000000"/>
          <w:sz w:val="28"/>
          <w:szCs w:val="28"/>
        </w:rPr>
        <w:t>：大型煤炭、能源、电力、煤炭贸易等企业形象及合作成果等。</w:t>
      </w:r>
    </w:p>
    <w:p w:rsidR="00645B7D" w:rsidRDefault="00A52AC2">
      <w:pPr>
        <w:widowControl/>
        <w:numPr>
          <w:ilvl w:val="0"/>
          <w:numId w:val="8"/>
        </w:numPr>
        <w:spacing w:line="180" w:lineRule="atLeast"/>
        <w:ind w:left="0"/>
        <w:rPr>
          <w:rFonts w:ascii="黑体" w:eastAsia="黑体" w:hAnsi="黑体" w:cs="黑体"/>
          <w:color w:val="000000"/>
          <w:sz w:val="28"/>
          <w:szCs w:val="28"/>
        </w:rPr>
      </w:pPr>
      <w:r>
        <w:rPr>
          <w:rStyle w:val="a5"/>
          <w:rFonts w:ascii="黑体" w:eastAsia="黑体" w:hAnsi="黑体" w:cs="黑体" w:hint="eastAsia"/>
          <w:bCs/>
          <w:color w:val="000000"/>
          <w:sz w:val="28"/>
          <w:szCs w:val="28"/>
        </w:rPr>
        <w:t>矿用机电装备与技术</w:t>
      </w:r>
      <w:r>
        <w:rPr>
          <w:rFonts w:ascii="黑体" w:eastAsia="黑体" w:hAnsi="黑体" w:cs="黑体" w:hint="eastAsia"/>
          <w:color w:val="000000"/>
          <w:sz w:val="28"/>
          <w:szCs w:val="28"/>
        </w:rPr>
        <w:t>：发电机组、变压器及变电站、电动机、减速机、空压机、离合器、耦合器、蓄电池、新能源微电网解决方案等。</w:t>
      </w:r>
    </w:p>
    <w:p w:rsidR="00645B7D" w:rsidRDefault="00645B7D">
      <w:pPr>
        <w:rPr>
          <w:rFonts w:ascii="黑体" w:eastAsia="黑体" w:hAnsi="黑体" w:cs="黑体"/>
          <w:sz w:val="28"/>
          <w:szCs w:val="28"/>
        </w:rPr>
      </w:pPr>
    </w:p>
    <w:sectPr w:rsidR="00645B7D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5713" w:rsidRDefault="00145713">
      <w:r>
        <w:separator/>
      </w:r>
    </w:p>
  </w:endnote>
  <w:endnote w:type="continuationSeparator" w:id="0">
    <w:p w:rsidR="00145713" w:rsidRDefault="00145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5B7D" w:rsidRDefault="00A52AC2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45B7D" w:rsidRDefault="00A52AC2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" filled="f" fillcolor="white [3201]" stroked="f" strokeweight=".5pt">
              <v:textbox style="mso-fit-shape-to-text:t" inset="0,0,0,0">
                <w:txbxContent>
                  <w:p w:rsidR="00645B7D" w:rsidRDefault="00A52AC2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5713" w:rsidRDefault="00145713">
      <w:r>
        <w:separator/>
      </w:r>
    </w:p>
  </w:footnote>
  <w:footnote w:type="continuationSeparator" w:id="0">
    <w:p w:rsidR="00145713" w:rsidRDefault="00145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C1C9687"/>
    <w:multiLevelType w:val="multilevel"/>
    <w:tmpl w:val="9C1C968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BF26D429"/>
    <w:multiLevelType w:val="multilevel"/>
    <w:tmpl w:val="BF26D42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D457C90D"/>
    <w:multiLevelType w:val="multilevel"/>
    <w:tmpl w:val="D457C90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D7B478D5"/>
    <w:multiLevelType w:val="multilevel"/>
    <w:tmpl w:val="D7B478D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 w15:restartNumberingAfterBreak="0">
    <w:nsid w:val="E692B520"/>
    <w:multiLevelType w:val="multilevel"/>
    <w:tmpl w:val="E692B52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5" w15:restartNumberingAfterBreak="0">
    <w:nsid w:val="1DACF285"/>
    <w:multiLevelType w:val="multilevel"/>
    <w:tmpl w:val="1DACF28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B594290"/>
    <w:rsid w:val="00043060"/>
    <w:rsid w:val="00145713"/>
    <w:rsid w:val="00645B7D"/>
    <w:rsid w:val="00A52AC2"/>
    <w:rsid w:val="00E46517"/>
    <w:rsid w:val="2B594290"/>
    <w:rsid w:val="682E2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39E266"/>
  <w15:docId w15:val="{CA7C24EA-2E6C-42CB-A450-EB5338B55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242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 Lily李</dc:creator>
  <cp:lastModifiedBy>Administrator</cp:lastModifiedBy>
  <cp:revision>3</cp:revision>
  <dcterms:created xsi:type="dcterms:W3CDTF">2026-03-03T07:51:00Z</dcterms:created>
  <dcterms:modified xsi:type="dcterms:W3CDTF">2026-03-03T07:53:00Z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7F26CC49AF45422AA247E84A288A3498_13</vt:lpwstr>
  </property>
  <property fmtid="{D5CDD505-2E9C-101B-9397-08002B2CF9AE}" pid="4" name="KSOTemplateDocerSaveRecord">
    <vt:lpwstr>eyJoZGlkIjoiNmEzZmIwODZhYTdmMTBmZGM0OTNjNTY0NmMyNDU5MTIiLCJ1c2VySWQiOiI2ODQ1MjA3NTcifQ==</vt:lpwstr>
  </property>
</Properties>
</file>