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EF703">
      <w:pPr>
        <w:pStyle w:val="3"/>
        <w:keepNext w:val="0"/>
        <w:keepLines w:val="0"/>
        <w:widowControl/>
        <w:suppressLineNumbers w:val="0"/>
        <w:spacing w:before="0" w:beforeAutospacing="0" w:after="0" w:afterAutospacing="0"/>
        <w:ind w:right="0" w:firstLine="640" w:firstLineChars="200"/>
        <w:rPr>
          <w:rFonts w:hint="eastAsia"/>
          <w:sz w:val="32"/>
          <w:szCs w:val="32"/>
          <w:lang w:eastAsia="zh-CN"/>
        </w:rPr>
      </w:pPr>
      <w:r>
        <w:rPr>
          <w:rFonts w:hint="eastAsia"/>
          <w:sz w:val="32"/>
          <w:szCs w:val="32"/>
          <w:lang w:eastAsia="zh-CN"/>
        </w:rPr>
        <w:t>《国家电网智慧无人营业厅建设规范》编制说明</w:t>
      </w:r>
    </w:p>
    <w:p w14:paraId="2DE32E43">
      <w:pPr>
        <w:jc w:val="center"/>
        <w:rPr>
          <w:rFonts w:hint="eastAsia"/>
          <w:sz w:val="28"/>
          <w:szCs w:val="28"/>
          <w:lang w:eastAsia="zh-CN"/>
        </w:rPr>
      </w:pPr>
      <w:r>
        <w:rPr>
          <w:rFonts w:hint="eastAsia"/>
          <w:sz w:val="28"/>
          <w:szCs w:val="28"/>
          <w:lang w:eastAsia="zh-CN"/>
        </w:rPr>
        <w:t>（征求意见稿）</w:t>
      </w:r>
    </w:p>
    <w:p w14:paraId="18F166F3">
      <w:pPr>
        <w:numPr>
          <w:ilvl w:val="0"/>
          <w:numId w:val="3"/>
        </w:numPr>
        <w:jc w:val="both"/>
        <w:rPr>
          <w:rFonts w:hint="eastAsia"/>
          <w:color w:val="000000"/>
          <w:sz w:val="28"/>
          <w:szCs w:val="28"/>
          <w:lang w:eastAsia="zh-CN"/>
        </w:rPr>
      </w:pPr>
      <w:r>
        <w:rPr>
          <w:rFonts w:hint="eastAsia"/>
          <w:color w:val="000000"/>
          <w:sz w:val="28"/>
          <w:szCs w:val="28"/>
          <w:lang w:eastAsia="zh-CN"/>
        </w:rPr>
        <w:t>工作简况</w:t>
      </w:r>
    </w:p>
    <w:p w14:paraId="1345D504">
      <w:pPr>
        <w:numPr>
          <w:ilvl w:val="0"/>
          <w:numId w:val="4"/>
        </w:numPr>
        <w:jc w:val="both"/>
        <w:rPr>
          <w:rFonts w:hint="eastAsia"/>
          <w:color w:val="000000"/>
          <w:sz w:val="28"/>
          <w:szCs w:val="28"/>
          <w:lang w:eastAsia="zh-CN"/>
        </w:rPr>
      </w:pPr>
      <w:r>
        <w:rPr>
          <w:rFonts w:hint="eastAsia"/>
          <w:color w:val="000000"/>
          <w:sz w:val="28"/>
          <w:szCs w:val="28"/>
          <w:lang w:eastAsia="zh-CN"/>
        </w:rPr>
        <w:t>任务来源</w:t>
      </w:r>
    </w:p>
    <w:p w14:paraId="19721C27">
      <w:pPr>
        <w:keepNext w:val="0"/>
        <w:keepLines w:val="0"/>
        <w:widowControl/>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《国家电网智慧无人营业厅建设规范》团体标准（以下简称“标准”）由山东省装备制造业协会提出并归口，主要起草单位：国网山东省电力公司平原县供电公司，计划完成时间 2025年11月。</w:t>
      </w:r>
    </w:p>
    <w:p w14:paraId="4436A769">
      <w:pPr>
        <w:numPr>
          <w:ilvl w:val="0"/>
          <w:numId w:val="4"/>
        </w:numPr>
        <w:ind w:left="0" w:leftChars="0" w:firstLine="0" w:firstLineChars="0"/>
        <w:jc w:val="both"/>
        <w:rPr>
          <w:rFonts w:hint="eastAsia"/>
          <w:color w:val="000000"/>
          <w:sz w:val="28"/>
          <w:szCs w:val="28"/>
          <w:lang w:val="en-US" w:eastAsia="zh-CN"/>
        </w:rPr>
      </w:pPr>
      <w:r>
        <w:rPr>
          <w:rFonts w:hint="eastAsia"/>
          <w:color w:val="000000"/>
          <w:sz w:val="28"/>
          <w:szCs w:val="28"/>
          <w:lang w:val="en-US" w:eastAsia="zh-CN"/>
        </w:rPr>
        <w:t>主要工作过程</w:t>
      </w:r>
    </w:p>
    <w:p w14:paraId="1E87035E">
      <w:pPr>
        <w:keepNext w:val="0"/>
        <w:keepLines w:val="0"/>
        <w:widowControl/>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（1）2025年2月</w:t>
      </w:r>
      <w:r>
        <w:rPr>
          <w:rFonts w:hint="eastAsia" w:ascii="宋体" w:hAnsi="宋体" w:eastAsia="宋体" w:cs="宋体"/>
          <w:color w:val="000000"/>
          <w:kern w:val="0"/>
          <w:sz w:val="28"/>
          <w:szCs w:val="28"/>
          <w:lang w:val="en-US" w:eastAsia="zh-CN" w:bidi="ar"/>
        </w:rPr>
        <w:t>—</w:t>
      </w:r>
      <w:r>
        <w:rPr>
          <w:rFonts w:hint="eastAsia" w:ascii="仿宋" w:hAnsi="仿宋" w:eastAsia="仿宋" w:cs="仿宋"/>
          <w:color w:val="000000"/>
          <w:kern w:val="0"/>
          <w:sz w:val="28"/>
          <w:szCs w:val="28"/>
          <w:lang w:val="en-US" w:eastAsia="zh-CN" w:bidi="ar"/>
        </w:rPr>
        <w:t>2025年6月，山东省装备制造业协会标准化工作委员会组织各起草单位成立了“国家电网智慧无人营业厅建设规范”标准制定工作组，由国网山东省电力公司平原县供电公司担任主要起草单位。工作组首先系统性地梳理了国内外智慧服务空间、无人值守技术站点的前沿案例与发展趋势，并对国家电网体系内已有的试点无人营业厅进行了实地调研与运行数据分析，全面掌握了现状与需求。工作组通过多次线上线下集中研讨，明确了标准的技术边界与核心架构，确立了标准编制原则，并构建了标准框架。随后，工作组依据成员专业领域进行分工，同步开展各章节内容的撰写，完成了初稿的编写工作。</w:t>
      </w:r>
    </w:p>
    <w:p w14:paraId="6294004D">
      <w:pPr>
        <w:keepNext w:val="0"/>
        <w:keepLines w:val="0"/>
        <w:widowControl/>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（2）2025年7月</w:t>
      </w:r>
      <w:r>
        <w:rPr>
          <w:rFonts w:hint="eastAsia" w:ascii="宋体" w:hAnsi="宋体" w:eastAsia="宋体" w:cs="宋体"/>
          <w:color w:val="000000"/>
          <w:kern w:val="0"/>
          <w:sz w:val="28"/>
          <w:szCs w:val="28"/>
          <w:lang w:val="en-US" w:eastAsia="zh-CN" w:bidi="ar"/>
        </w:rPr>
        <w:t>—</w:t>
      </w:r>
      <w:r>
        <w:rPr>
          <w:rFonts w:hint="eastAsia" w:ascii="仿宋" w:hAnsi="仿宋" w:eastAsia="仿宋" w:cs="仿宋"/>
          <w:color w:val="000000"/>
          <w:kern w:val="0"/>
          <w:sz w:val="28"/>
          <w:szCs w:val="28"/>
          <w:lang w:val="en-US" w:eastAsia="zh-CN" w:bidi="ar"/>
        </w:rPr>
        <w:t>2023年8月，工作组邀请相关机构、行业专家组织召开多次研讨会，针对提出的问题逐一进行讨论和修改，在此基础上于2025年9月2日形成征求意见稿，报送至协会标准化工作委员会。</w:t>
      </w:r>
    </w:p>
    <w:p w14:paraId="0A1878B8">
      <w:pPr>
        <w:numPr>
          <w:ilvl w:val="0"/>
          <w:numId w:val="4"/>
        </w:numPr>
        <w:ind w:left="0" w:leftChars="0" w:firstLine="0" w:firstLineChars="0"/>
        <w:jc w:val="both"/>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主要参加单位和工作组成员及其所做的工作等</w:t>
      </w:r>
    </w:p>
    <w:p w14:paraId="7FE8FB0A">
      <w:pPr>
        <w:keepNext w:val="0"/>
        <w:keepLines w:val="0"/>
        <w:widowControl/>
        <w:suppressLineNumbers w:val="0"/>
        <w:ind w:firstLine="560" w:firstLineChars="200"/>
        <w:jc w:val="left"/>
        <w:rPr>
          <w:rFonts w:hint="default" w:ascii="仿宋" w:hAnsi="仿宋" w:eastAsia="仿宋" w:cs="仿宋"/>
          <w:color w:val="FF0000"/>
          <w:kern w:val="0"/>
          <w:sz w:val="28"/>
          <w:szCs w:val="28"/>
          <w:lang w:val="en-US" w:eastAsia="zh-CN" w:bidi="ar"/>
        </w:rPr>
      </w:pPr>
      <w:r>
        <w:rPr>
          <w:rFonts w:hint="default" w:ascii="仿宋" w:hAnsi="仿宋" w:eastAsia="仿宋" w:cs="仿宋"/>
          <w:color w:val="000000"/>
          <w:kern w:val="0"/>
          <w:sz w:val="28"/>
          <w:szCs w:val="28"/>
          <w:lang w:val="en-US" w:eastAsia="zh-CN" w:bidi="ar"/>
        </w:rPr>
        <w:t>本</w:t>
      </w:r>
      <w:r>
        <w:rPr>
          <w:rFonts w:hint="eastAsia" w:ascii="仿宋" w:hAnsi="仿宋" w:eastAsia="仿宋" w:cs="仿宋"/>
          <w:color w:val="000000"/>
          <w:kern w:val="0"/>
          <w:sz w:val="28"/>
          <w:szCs w:val="28"/>
          <w:lang w:val="en-US" w:eastAsia="zh-CN" w:bidi="ar"/>
        </w:rPr>
        <w:t>标准</w:t>
      </w:r>
      <w:r>
        <w:rPr>
          <w:rFonts w:hint="default" w:ascii="仿宋" w:hAnsi="仿宋" w:eastAsia="仿宋" w:cs="仿宋"/>
          <w:color w:val="000000"/>
          <w:kern w:val="0"/>
          <w:sz w:val="28"/>
          <w:szCs w:val="28"/>
          <w:lang w:val="en-US" w:eastAsia="zh-CN" w:bidi="ar"/>
        </w:rPr>
        <w:t>由</w:t>
      </w:r>
      <w:r>
        <w:rPr>
          <w:rFonts w:hint="eastAsia" w:ascii="仿宋" w:hAnsi="仿宋" w:eastAsia="仿宋" w:cs="仿宋"/>
          <w:color w:val="000000"/>
          <w:kern w:val="0"/>
          <w:sz w:val="28"/>
          <w:szCs w:val="28"/>
          <w:lang w:val="en-US" w:eastAsia="zh-CN" w:bidi="ar"/>
        </w:rPr>
        <w:t>国网山东省电力公司平原县供电公司</w:t>
      </w:r>
      <w:r>
        <w:rPr>
          <w:rFonts w:hint="default" w:ascii="仿宋" w:hAnsi="仿宋" w:eastAsia="仿宋" w:cs="仿宋"/>
          <w:color w:val="auto"/>
          <w:kern w:val="0"/>
          <w:sz w:val="28"/>
          <w:szCs w:val="28"/>
          <w:lang w:val="en-US" w:eastAsia="zh-CN" w:bidi="ar"/>
        </w:rPr>
        <w:t>等单位共同起草。</w:t>
      </w:r>
    </w:p>
    <w:p w14:paraId="4C201344">
      <w:pPr>
        <w:keepNext w:val="0"/>
        <w:keepLines w:val="0"/>
        <w:widowControl/>
        <w:suppressLineNumbers w:val="0"/>
        <w:ind w:firstLine="560" w:firstLineChars="200"/>
        <w:jc w:val="left"/>
        <w:rPr>
          <w:rFonts w:hint="eastAsia" w:ascii="仿宋" w:hAnsi="仿宋" w:eastAsia="仿宋" w:cs="仿宋"/>
          <w:color w:val="FF0000"/>
          <w:kern w:val="0"/>
          <w:sz w:val="28"/>
          <w:szCs w:val="28"/>
          <w:lang w:val="en-US" w:eastAsia="zh-CN" w:bidi="ar"/>
        </w:rPr>
      </w:pPr>
      <w:r>
        <w:rPr>
          <w:rFonts w:hint="default" w:ascii="仿宋" w:hAnsi="仿宋" w:eastAsia="仿宋" w:cs="仿宋"/>
          <w:color w:val="FF0000"/>
          <w:kern w:val="0"/>
          <w:sz w:val="28"/>
          <w:szCs w:val="28"/>
          <w:lang w:val="en-US" w:eastAsia="zh-CN" w:bidi="ar"/>
        </w:rPr>
        <w:t>主要成员：</w:t>
      </w:r>
      <w:r>
        <w:rPr>
          <w:rFonts w:hint="eastAsia" w:ascii="仿宋" w:hAnsi="仿宋" w:eastAsia="仿宋" w:cs="仿宋"/>
          <w:color w:val="FF0000"/>
          <w:kern w:val="0"/>
          <w:sz w:val="28"/>
          <w:szCs w:val="28"/>
          <w:lang w:val="en-US" w:eastAsia="zh-CN" w:bidi="ar"/>
        </w:rPr>
        <w:t>。</w:t>
      </w:r>
    </w:p>
    <w:p w14:paraId="1D2FA6A8">
      <w:pPr>
        <w:keepNext w:val="0"/>
        <w:keepLines w:val="0"/>
        <w:widowControl/>
        <w:suppressLineNumbers w:val="0"/>
        <w:ind w:firstLine="560" w:firstLineChars="200"/>
        <w:jc w:val="left"/>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所做的工作</w:t>
      </w:r>
      <w:r>
        <w:rPr>
          <w:rFonts w:hint="eastAsia" w:ascii="仿宋" w:hAnsi="仿宋" w:eastAsia="仿宋" w:cs="仿宋"/>
          <w:color w:val="000000"/>
          <w:kern w:val="0"/>
          <w:sz w:val="28"/>
          <w:szCs w:val="28"/>
          <w:lang w:val="en-US" w:eastAsia="zh-CN" w:bidi="ar"/>
        </w:rPr>
        <w:t>：。</w:t>
      </w:r>
    </w:p>
    <w:p w14:paraId="11943807">
      <w:pPr>
        <w:keepNext w:val="0"/>
        <w:keepLines w:val="0"/>
        <w:widowControl/>
        <w:numPr>
          <w:ilvl w:val="0"/>
          <w:numId w:val="3"/>
        </w:numPr>
        <w:suppressLineNumbers w:val="0"/>
        <w:ind w:left="0" w:leftChars="0" w:firstLine="0" w:firstLineChars="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标准编制原则和主要内容</w:t>
      </w:r>
    </w:p>
    <w:p w14:paraId="6F1689CB">
      <w:pPr>
        <w:keepNext w:val="0"/>
        <w:keepLines w:val="0"/>
        <w:widowControl/>
        <w:numPr>
          <w:numId w:val="0"/>
        </w:numPr>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（一）标准编制原则</w:t>
      </w:r>
    </w:p>
    <w:p w14:paraId="34EE9CA7">
      <w:pPr>
        <w:keepNext w:val="0"/>
        <w:keepLines w:val="0"/>
        <w:widowControl/>
        <w:numPr>
          <w:ilvl w:val="0"/>
          <w:numId w:val="0"/>
        </w:numPr>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本标准严格按照GB/T 1.1-2020《标准化工作导则 第1部分：标准化文件的结构和起草规则》的规定进行编写和表述</w:t>
      </w:r>
      <w:r>
        <w:rPr>
          <w:rFonts w:hint="eastAsia" w:ascii="仿宋" w:hAnsi="仿宋" w:eastAsia="仿宋" w:cs="仿宋"/>
          <w:color w:val="000000"/>
          <w:kern w:val="0"/>
          <w:sz w:val="28"/>
          <w:szCs w:val="28"/>
          <w:lang w:val="en-US" w:eastAsia="zh-CN" w:bidi="ar"/>
        </w:rPr>
        <w:t>，并遵循下列原则：</w:t>
      </w:r>
    </w:p>
    <w:p w14:paraId="0E02A597">
      <w:pPr>
        <w:keepNext w:val="0"/>
        <w:keepLines w:val="0"/>
        <w:widowControl/>
        <w:numPr>
          <w:ilvl w:val="0"/>
          <w:numId w:val="0"/>
        </w:numPr>
        <w:suppressLineNumbers w:val="0"/>
        <w:ind w:firstLine="560" w:firstLineChars="200"/>
        <w:jc w:val="left"/>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w:t>
      </w:r>
      <w:r>
        <w:rPr>
          <w:rFonts w:hint="default" w:ascii="仿宋" w:hAnsi="仿宋" w:eastAsia="仿宋" w:cs="仿宋"/>
          <w:color w:val="000000"/>
          <w:kern w:val="0"/>
          <w:sz w:val="28"/>
          <w:szCs w:val="28"/>
          <w:lang w:val="en-US" w:eastAsia="zh-CN" w:bidi="ar"/>
        </w:rPr>
        <w:t>技术先进与智慧化原则</w:t>
      </w:r>
    </w:p>
    <w:p w14:paraId="1B2228A1">
      <w:pPr>
        <w:keepNext w:val="0"/>
        <w:keepLines w:val="0"/>
        <w:widowControl/>
        <w:numPr>
          <w:ilvl w:val="0"/>
          <w:numId w:val="0"/>
        </w:numPr>
        <w:suppressLineNumbers w:val="0"/>
        <w:ind w:firstLine="560" w:firstLineChars="200"/>
        <w:jc w:val="left"/>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标准充分融合前沿技术，推动营业厅的智能化升级。明确提出以人工智能（AI）、物联网（IoT）、大数据等技术为支撑，构建由基础设施层、感知层、平台层到应用层的整体智慧架构。特别规定了“光明智算边缘装置”的部署，集成大模型与专用算法，实现智能问答、行为分析、情绪识别等高级功能，确保服务的智慧高效。</w:t>
      </w:r>
    </w:p>
    <w:p w14:paraId="3F3BDBC8">
      <w:pPr>
        <w:keepNext w:val="0"/>
        <w:keepLines w:val="0"/>
        <w:widowControl/>
        <w:numPr>
          <w:ilvl w:val="0"/>
          <w:numId w:val="0"/>
        </w:numPr>
        <w:suppressLineNumbers w:val="0"/>
        <w:ind w:firstLine="560" w:firstLineChars="200"/>
        <w:jc w:val="left"/>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2.</w:t>
      </w:r>
      <w:r>
        <w:rPr>
          <w:rFonts w:hint="default" w:ascii="仿宋" w:hAnsi="仿宋" w:eastAsia="仿宋" w:cs="仿宋"/>
          <w:color w:val="000000"/>
          <w:kern w:val="0"/>
          <w:sz w:val="28"/>
          <w:szCs w:val="28"/>
          <w:lang w:val="en-US" w:eastAsia="zh-CN" w:bidi="ar"/>
        </w:rPr>
        <w:t>安全可靠与合规性原则</w:t>
      </w:r>
    </w:p>
    <w:p w14:paraId="4DF1B520">
      <w:pPr>
        <w:keepNext w:val="0"/>
        <w:keepLines w:val="0"/>
        <w:widowControl/>
        <w:numPr>
          <w:ilvl w:val="0"/>
          <w:numId w:val="0"/>
        </w:numPr>
        <w:suppressLineNumbers w:val="0"/>
        <w:ind w:firstLine="560" w:firstLineChars="200"/>
        <w:jc w:val="left"/>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标准将安全与可靠置于基础地位。网络安全上，要求遵循“安全分区、网络专用、横向隔离、纵向认证”原则，符合网络安全等级保护要求。数据安全与隐私上，严格遵循《国家电网有限公司数据管理办法》及GB/T 35273等国家标准，对个人信息进行加密处理与权限管控。物理安全上，对供配电、消防、防雷接地及应急管理均制定了详尽的技术指标和管理规定，保障系统与环境的稳定运行。</w:t>
      </w:r>
    </w:p>
    <w:p w14:paraId="06AD7D63">
      <w:pPr>
        <w:keepNext w:val="0"/>
        <w:keepLines w:val="0"/>
        <w:widowControl/>
        <w:numPr>
          <w:ilvl w:val="0"/>
          <w:numId w:val="0"/>
        </w:numPr>
        <w:suppressLineNumbers w:val="0"/>
        <w:ind w:left="279" w:leftChars="133" w:firstLine="280" w:firstLineChars="100"/>
        <w:jc w:val="left"/>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3.</w:t>
      </w:r>
      <w:r>
        <w:rPr>
          <w:rFonts w:hint="default" w:ascii="仿宋" w:hAnsi="仿宋" w:eastAsia="仿宋" w:cs="仿宋"/>
          <w:color w:val="000000"/>
          <w:kern w:val="0"/>
          <w:sz w:val="28"/>
          <w:szCs w:val="28"/>
          <w:lang w:val="en-US" w:eastAsia="zh-CN" w:bidi="ar"/>
        </w:rPr>
        <w:t>集约共享与可扩展性原则</w:t>
      </w:r>
    </w:p>
    <w:p w14:paraId="153FB14E">
      <w:pPr>
        <w:keepNext w:val="0"/>
        <w:keepLines w:val="0"/>
        <w:widowControl/>
        <w:numPr>
          <w:ilvl w:val="0"/>
          <w:numId w:val="0"/>
        </w:numPr>
        <w:suppressLineNumbers w:val="0"/>
        <w:ind w:firstLine="560" w:firstLineChars="200"/>
        <w:jc w:val="left"/>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标准强调资源的整合与未来发展的适应性。通过构建统一的“智能服务中台”，实现算法、数据和业务能力的集约化管理和共享，避免重复建设。总体架构设计及基础设施要求均考虑了技术的迭代更新，为后续的功能扩展与设备接入预留了空间，保证了系统的开放性和可扩展性。</w:t>
      </w:r>
    </w:p>
    <w:p w14:paraId="5868CE84">
      <w:pPr>
        <w:keepNext w:val="0"/>
        <w:keepLines w:val="0"/>
        <w:widowControl/>
        <w:numPr>
          <w:ilvl w:val="0"/>
          <w:numId w:val="0"/>
        </w:numPr>
        <w:suppressLineNumbers w:val="0"/>
        <w:ind w:firstLine="560" w:firstLineChars="200"/>
        <w:jc w:val="left"/>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4.</w:t>
      </w:r>
      <w:r>
        <w:rPr>
          <w:rFonts w:hint="default" w:ascii="仿宋" w:hAnsi="仿宋" w:eastAsia="仿宋" w:cs="仿宋"/>
          <w:color w:val="000000"/>
          <w:kern w:val="0"/>
          <w:sz w:val="28"/>
          <w:szCs w:val="28"/>
          <w:lang w:val="en-US" w:eastAsia="zh-CN" w:bidi="ar"/>
        </w:rPr>
        <w:t>标准统一与规范性原则</w:t>
      </w:r>
    </w:p>
    <w:p w14:paraId="246EA3DD">
      <w:pPr>
        <w:keepNext w:val="0"/>
        <w:keepLines w:val="0"/>
        <w:widowControl/>
        <w:numPr>
          <w:ilvl w:val="0"/>
          <w:numId w:val="0"/>
        </w:numPr>
        <w:suppressLineNumbers w:val="0"/>
        <w:ind w:firstLine="560" w:firstLineChars="200"/>
        <w:jc w:val="left"/>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为确保建设的规范性和普适性，标准严格遵循统一的技术与管理要求。在基础设施、网络布线、接口协议等方面大量引用国家标准，保证了与国家及行业标准的兼容。同时，在品牌形象（VI）、空间布局、设备配置等方面追求统一，确保不同地区营业厅建设的一致性和专业性。</w:t>
      </w:r>
    </w:p>
    <w:p w14:paraId="2387FE59">
      <w:pPr>
        <w:keepNext w:val="0"/>
        <w:keepLines w:val="0"/>
        <w:widowControl/>
        <w:numPr>
          <w:numId w:val="0"/>
        </w:numPr>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（二）标准主要内容</w:t>
      </w:r>
    </w:p>
    <w:p w14:paraId="56ABE3C4">
      <w:pPr>
        <w:pStyle w:val="10"/>
        <w:ind w:firstLine="420"/>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本标准规定了国家电网智慧无人营业厅建设的总则、总体功能和空间布局要求、基础设施要求、智能设备配置要求、智能服务中台功能要求、运营管理要求、安全与保障要求。主要内容包括：</w:t>
      </w:r>
    </w:p>
    <w:p w14:paraId="5B30FF64">
      <w:pPr>
        <w:ind w:firstLine="560" w:firstLineChars="200"/>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第1章：范围</w:t>
      </w:r>
    </w:p>
    <w:p w14:paraId="4512FD67">
      <w:pPr>
        <w:ind w:firstLine="560" w:firstLineChars="200"/>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第2章：规范性引用文件。列入了本标准引用的国家标准和行业标准。</w:t>
      </w:r>
    </w:p>
    <w:p w14:paraId="0BD983F5">
      <w:pPr>
        <w:ind w:firstLine="560" w:firstLineChars="200"/>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第3章：术语和定义。界定“智慧无人营业厅”“光明智算边缘装置”“智慧舱”等关键术语，统一概念理解，避免歧义。</w:t>
      </w:r>
    </w:p>
    <w:p w14:paraId="3F26AB14">
      <w:pPr>
        <w:ind w:firstLine="560" w:firstLineChars="200"/>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第4章：总则。明确建设原则：客户为中心、智慧高效、安全可靠、集约共享、标准统一。提出“基础设施—感知—网络—平台—应用”五层总体架构。</w:t>
      </w:r>
    </w:p>
    <w:p w14:paraId="44517D68">
      <w:pPr>
        <w:ind w:firstLine="560" w:firstLineChars="200"/>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第5章：总体功能和空间布局要求。</w:t>
      </w:r>
      <w:r>
        <w:rPr>
          <w:rFonts w:hint="default" w:ascii="仿宋" w:hAnsi="仿宋" w:eastAsia="仿宋" w:cs="仿宋"/>
          <w:color w:val="000000"/>
          <w:kern w:val="0"/>
          <w:sz w:val="28"/>
          <w:szCs w:val="28"/>
          <w:lang w:val="en-US" w:eastAsia="zh-CN" w:bidi="ar"/>
        </w:rPr>
        <w:t>规定营业厅应具备自助业务、能源体验、科普宣传等功能，明确选址原则与空间分区（如门禁区、自助办理区、能源体验区等）</w:t>
      </w:r>
      <w:r>
        <w:rPr>
          <w:rFonts w:hint="eastAsia" w:ascii="仿宋" w:hAnsi="仿宋" w:eastAsia="仿宋" w:cs="仿宋"/>
          <w:color w:val="000000"/>
          <w:kern w:val="0"/>
          <w:sz w:val="28"/>
          <w:szCs w:val="28"/>
          <w:lang w:val="en-US" w:eastAsia="zh-CN" w:bidi="ar"/>
        </w:rPr>
        <w:t>。</w:t>
      </w:r>
    </w:p>
    <w:p w14:paraId="54EBF8A7">
      <w:pPr>
        <w:ind w:firstLine="560" w:firstLineChars="200"/>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第6章：基础设施要求。</w:t>
      </w:r>
      <w:r>
        <w:rPr>
          <w:rFonts w:hint="default" w:ascii="仿宋" w:hAnsi="仿宋" w:eastAsia="仿宋" w:cs="仿宋"/>
          <w:color w:val="000000"/>
          <w:kern w:val="0"/>
          <w:sz w:val="28"/>
          <w:szCs w:val="28"/>
          <w:lang w:val="en-US" w:eastAsia="zh-CN" w:bidi="ar"/>
        </w:rPr>
        <w:t>涵盖建筑本体、供配电、环境控制、弱电、防雷接地及消防系统的具体技术要求，确保基础环境安全、稳定、合规</w:t>
      </w:r>
      <w:r>
        <w:rPr>
          <w:rFonts w:hint="eastAsia" w:ascii="仿宋" w:hAnsi="仿宋" w:eastAsia="仿宋" w:cs="仿宋"/>
          <w:color w:val="000000"/>
          <w:kern w:val="0"/>
          <w:sz w:val="28"/>
          <w:szCs w:val="28"/>
          <w:lang w:val="en-US" w:eastAsia="zh-CN" w:bidi="ar"/>
        </w:rPr>
        <w:t>。</w:t>
      </w:r>
    </w:p>
    <w:p w14:paraId="354322B1">
      <w:pPr>
        <w:ind w:firstLine="560" w:firstLineChars="200"/>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第7章：智能设备配置要求。</w:t>
      </w:r>
      <w:r>
        <w:rPr>
          <w:rFonts w:hint="default" w:ascii="仿宋" w:hAnsi="仿宋" w:eastAsia="仿宋" w:cs="仿宋"/>
          <w:color w:val="000000"/>
          <w:kern w:val="0"/>
          <w:sz w:val="28"/>
          <w:szCs w:val="28"/>
          <w:lang w:val="en-US" w:eastAsia="zh-CN" w:bidi="ar"/>
        </w:rPr>
        <w:t>明确光明智算边缘装置、智能业务终端、智慧舱、引导机器人、感知安防设备等关键设备的配置要求与性能指标</w:t>
      </w:r>
      <w:r>
        <w:rPr>
          <w:rFonts w:hint="eastAsia" w:ascii="仿宋" w:hAnsi="仿宋" w:eastAsia="仿宋" w:cs="仿宋"/>
          <w:color w:val="000000"/>
          <w:kern w:val="0"/>
          <w:sz w:val="28"/>
          <w:szCs w:val="28"/>
          <w:lang w:val="en-US" w:eastAsia="zh-CN" w:bidi="ar"/>
        </w:rPr>
        <w:t>。</w:t>
      </w:r>
    </w:p>
    <w:p w14:paraId="1DB109A4">
      <w:pPr>
        <w:ind w:firstLine="560" w:firstLineChars="200"/>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第8章：智能服务中台功能要求。</w:t>
      </w:r>
      <w:r>
        <w:rPr>
          <w:rFonts w:hint="default" w:ascii="仿宋" w:hAnsi="仿宋" w:eastAsia="仿宋" w:cs="仿宋"/>
          <w:color w:val="000000"/>
          <w:kern w:val="0"/>
          <w:sz w:val="28"/>
          <w:szCs w:val="28"/>
          <w:lang w:val="en-US" w:eastAsia="zh-CN" w:bidi="ar"/>
        </w:rPr>
        <w:t>规定AI能力中台、数据中台、业务中台及物联网平台应提供的共性服务能力，支撑前端应用高效运行与数据融合</w:t>
      </w:r>
      <w:r>
        <w:rPr>
          <w:rFonts w:hint="eastAsia" w:ascii="仿宋" w:hAnsi="仿宋" w:eastAsia="仿宋" w:cs="仿宋"/>
          <w:color w:val="000000"/>
          <w:kern w:val="0"/>
          <w:sz w:val="28"/>
          <w:szCs w:val="28"/>
          <w:lang w:val="en-US" w:eastAsia="zh-CN" w:bidi="ar"/>
        </w:rPr>
        <w:t>。</w:t>
      </w:r>
      <w:bookmarkStart w:id="0" w:name="_GoBack"/>
      <w:bookmarkEnd w:id="0"/>
    </w:p>
    <w:p w14:paraId="60BDEECE">
      <w:pPr>
        <w:ind w:firstLine="560" w:firstLineChars="200"/>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第9章：运营管理要求。</w:t>
      </w:r>
      <w:r>
        <w:rPr>
          <w:rFonts w:hint="default" w:ascii="仿宋" w:hAnsi="仿宋" w:eastAsia="仿宋" w:cs="仿宋"/>
          <w:color w:val="000000"/>
          <w:kern w:val="0"/>
          <w:sz w:val="28"/>
          <w:szCs w:val="28"/>
          <w:lang w:val="en-US" w:eastAsia="zh-CN" w:bidi="ar"/>
        </w:rPr>
        <w:t>涵盖日常远程运营、现场巡检、业务调度、维护管理及数据知识管理，确保营业厅持续稳定运行与服务优化。</w:t>
      </w:r>
    </w:p>
    <w:p w14:paraId="5A6E2E97">
      <w:pPr>
        <w:ind w:firstLine="560" w:firstLineChars="200"/>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第10章 安全与保障要求。</w:t>
      </w:r>
      <w:r>
        <w:rPr>
          <w:rFonts w:hint="default" w:ascii="仿宋" w:hAnsi="仿宋" w:eastAsia="仿宋" w:cs="仿宋"/>
          <w:color w:val="000000"/>
          <w:kern w:val="0"/>
          <w:sz w:val="28"/>
          <w:szCs w:val="28"/>
          <w:lang w:val="en-US" w:eastAsia="zh-CN" w:bidi="ar"/>
        </w:rPr>
        <w:t>从网络安全、数据隐私、物理安全及应急管理四方面提出具体要求，保障系统、数据与环境安全可靠。</w:t>
      </w:r>
    </w:p>
    <w:p w14:paraId="7A0BAF26">
      <w:pPr>
        <w:ind w:firstLine="560" w:firstLineChars="200"/>
        <w:rPr>
          <w:rFonts w:hint="eastAsia"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附录A（资料性） 智慧无人营业厅具体功能配置</w:t>
      </w:r>
      <w:r>
        <w:rPr>
          <w:rFonts w:hint="eastAsia" w:ascii="仿宋" w:hAnsi="仿宋" w:eastAsia="仿宋" w:cs="仿宋"/>
          <w:color w:val="000000"/>
          <w:kern w:val="0"/>
          <w:sz w:val="28"/>
          <w:szCs w:val="28"/>
          <w:lang w:val="en-US" w:eastAsia="zh-CN" w:bidi="ar"/>
        </w:rPr>
        <w:t>。</w:t>
      </w:r>
      <w:r>
        <w:rPr>
          <w:rFonts w:hint="default" w:ascii="仿宋" w:hAnsi="仿宋" w:eastAsia="仿宋" w:cs="仿宋"/>
          <w:color w:val="000000"/>
          <w:kern w:val="0"/>
          <w:sz w:val="28"/>
          <w:szCs w:val="28"/>
          <w:lang w:val="en-US" w:eastAsia="zh-CN" w:bidi="ar"/>
        </w:rPr>
        <w:t>以表格形式列出客户服务、运营管理、扩展功能等具体功能项及其内容说明，供建设时参考配置。</w:t>
      </w:r>
    </w:p>
    <w:p w14:paraId="5045674D">
      <w:pPr>
        <w:ind w:firstLine="560" w:firstLineChars="2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附录B（资料性） 智慧无人营业厅主要设备配置表</w:t>
      </w:r>
      <w:r>
        <w:rPr>
          <w:rFonts w:hint="eastAsia" w:ascii="仿宋" w:hAnsi="仿宋" w:eastAsia="仿宋" w:cs="仿宋"/>
          <w:color w:val="000000"/>
          <w:kern w:val="0"/>
          <w:sz w:val="28"/>
          <w:szCs w:val="28"/>
          <w:lang w:val="en-US" w:eastAsia="zh-CN" w:bidi="ar"/>
        </w:rPr>
        <w:t>。</w:t>
      </w:r>
      <w:r>
        <w:rPr>
          <w:rFonts w:hint="default" w:ascii="仿宋" w:hAnsi="仿宋" w:eastAsia="仿宋" w:cs="仿宋"/>
          <w:color w:val="000000"/>
          <w:kern w:val="0"/>
          <w:sz w:val="28"/>
          <w:szCs w:val="28"/>
          <w:lang w:val="en-US" w:eastAsia="zh-CN" w:bidi="ar"/>
        </w:rPr>
        <w:t>提供设备类别、名称、功能、性能要求及推荐数量等参考清单，指导设备选型与部署。</w:t>
      </w:r>
    </w:p>
    <w:p w14:paraId="700333FD">
      <w:pPr>
        <w:pStyle w:val="10"/>
        <w:rPr>
          <w:rFonts w:hint="eastAsia"/>
          <w:lang w:val="en-US" w:eastAsia="zh-CN"/>
        </w:rPr>
      </w:pPr>
    </w:p>
    <w:p w14:paraId="5276EE34">
      <w:pPr>
        <w:pStyle w:val="10"/>
        <w:numPr>
          <w:ilvl w:val="0"/>
          <w:numId w:val="0"/>
        </w:numP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三、主要试验（或验证）情况</w:t>
      </w:r>
    </w:p>
    <w:p w14:paraId="24675907">
      <w:pPr>
        <w:ind w:firstLine="560" w:firstLineChars="200"/>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关于本标准的主要试验（或验证）情况包括以下方面：</w:t>
      </w:r>
    </w:p>
    <w:p w14:paraId="5DDA36E1">
      <w:pPr>
        <w:ind w:left="279" w:leftChars="133" w:firstLine="280" w:firstLineChars="100"/>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1. </w:t>
      </w:r>
      <w:r>
        <w:rPr>
          <w:rFonts w:hint="default" w:ascii="仿宋" w:hAnsi="仿宋" w:eastAsia="仿宋" w:cs="仿宋"/>
          <w:color w:val="000000"/>
          <w:kern w:val="0"/>
          <w:sz w:val="28"/>
          <w:szCs w:val="28"/>
          <w:lang w:val="en-US" w:eastAsia="zh-CN" w:bidi="ar"/>
        </w:rPr>
        <w:t>关键技术验证</w:t>
      </w:r>
    </w:p>
    <w:p w14:paraId="6DDBFC7D">
      <w:pPr>
        <w:ind w:firstLine="560" w:firstLineChars="200"/>
        <w:rPr>
          <w:rFonts w:hint="eastAsia"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在标准编制过程中，工作组对规范中提出的核心技术，特别是光明智算边缘装置的本地AI算力、模型管理及云边协同能力进行了专项测试。重点验证了其在营业厅典型业务场景下的并发处理能力和实时性</w:t>
      </w:r>
      <w:r>
        <w:rPr>
          <w:rFonts w:hint="eastAsia" w:ascii="仿宋" w:hAnsi="仿宋" w:eastAsia="仿宋" w:cs="仿宋"/>
          <w:color w:val="000000"/>
          <w:kern w:val="0"/>
          <w:sz w:val="28"/>
          <w:szCs w:val="28"/>
          <w:lang w:val="en-US" w:eastAsia="zh-CN" w:bidi="ar"/>
        </w:rPr>
        <w:t>。</w:t>
      </w:r>
    </w:p>
    <w:p w14:paraId="57CC0DFF">
      <w:pPr>
        <w:ind w:firstLine="560" w:firstLineChars="200"/>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2.</w:t>
      </w:r>
      <w:r>
        <w:rPr>
          <w:rFonts w:hint="default" w:ascii="仿宋" w:hAnsi="仿宋" w:eastAsia="仿宋" w:cs="仿宋"/>
          <w:color w:val="000000"/>
          <w:kern w:val="0"/>
          <w:sz w:val="28"/>
          <w:szCs w:val="28"/>
          <w:lang w:val="en-US" w:eastAsia="zh-CN" w:bidi="ar"/>
        </w:rPr>
        <w:t>智能设备与系统功能验证</w:t>
      </w:r>
    </w:p>
    <w:p w14:paraId="36127250">
      <w:pPr>
        <w:ind w:firstLine="560" w:firstLineChars="2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对智能业务办理终端、智慧舱、智能引导机器人等关键设备的集成功能、交互性能及稳定性进行了实测。验证内容包括：基于光明大模型的智能问答准确率、多方言识别与交互、客户情绪识别与策略调整、远程音视频协同等功能的可行性与有效性。</w:t>
      </w:r>
    </w:p>
    <w:p w14:paraId="12284324">
      <w:pPr>
        <w:ind w:left="279" w:leftChars="133" w:firstLine="280" w:firstLineChars="100"/>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3.</w:t>
      </w:r>
      <w:r>
        <w:rPr>
          <w:rFonts w:hint="default" w:ascii="仿宋" w:hAnsi="仿宋" w:eastAsia="仿宋" w:cs="仿宋"/>
          <w:color w:val="000000"/>
          <w:kern w:val="0"/>
          <w:sz w:val="28"/>
          <w:szCs w:val="28"/>
          <w:lang w:val="en-US" w:eastAsia="zh-CN" w:bidi="ar"/>
        </w:rPr>
        <w:t>运营流程与管理机制验证</w:t>
      </w:r>
    </w:p>
    <w:p w14:paraId="0B28F338">
      <w:pPr>
        <w:ind w:firstLine="560" w:firstLineChars="2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通过搭建模拟营业厅环境或利用现有试点，对标准中规定的远程运营中心支持模式、线上预约调度、现场巡检维护、故障应急响应等一系列运营管理流程进行了实际运行验证，确保其可操作性与效率。</w:t>
      </w:r>
    </w:p>
    <w:p w14:paraId="0BC72485">
      <w:pPr>
        <w:ind w:firstLine="560" w:firstLineChars="200"/>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4.</w:t>
      </w:r>
      <w:r>
        <w:rPr>
          <w:rFonts w:hint="default" w:ascii="仿宋" w:hAnsi="仿宋" w:eastAsia="仿宋" w:cs="仿宋"/>
          <w:color w:val="000000"/>
          <w:kern w:val="0"/>
          <w:sz w:val="28"/>
          <w:szCs w:val="28"/>
          <w:lang w:val="en-US" w:eastAsia="zh-CN" w:bidi="ar"/>
        </w:rPr>
        <w:t>安全与可靠性压力测试</w:t>
      </w:r>
    </w:p>
    <w:p w14:paraId="17979E01">
      <w:pPr>
        <w:ind w:firstLine="560" w:firstLineChars="200"/>
        <w:rPr>
          <w:rFonts w:hint="eastAsia"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对营业厅的整体网络安全架构、数据加密与隐私保护措施以及物理安防系统的联动逻辑进行了针对性的测试和压力模拟，验证其在多种异常情况下的可靠性与符合性，确保其满足GB/T 22239等相关安全标准的要求</w:t>
      </w:r>
      <w:r>
        <w:rPr>
          <w:rFonts w:hint="eastAsia" w:ascii="仿宋" w:hAnsi="仿宋" w:eastAsia="仿宋" w:cs="仿宋"/>
          <w:color w:val="000000"/>
          <w:kern w:val="0"/>
          <w:sz w:val="28"/>
          <w:szCs w:val="28"/>
          <w:lang w:val="en-US" w:eastAsia="zh-CN" w:bidi="ar"/>
        </w:rPr>
        <w:t>。</w:t>
      </w:r>
    </w:p>
    <w:p w14:paraId="572DE9D5">
      <w:pPr>
        <w:ind w:firstLine="560" w:firstLineChars="200"/>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5.</w:t>
      </w:r>
      <w:r>
        <w:rPr>
          <w:rFonts w:hint="default" w:ascii="仿宋" w:hAnsi="仿宋" w:eastAsia="仿宋" w:cs="仿宋"/>
          <w:color w:val="000000"/>
          <w:kern w:val="0"/>
          <w:sz w:val="28"/>
          <w:szCs w:val="28"/>
          <w:lang w:val="en-US" w:eastAsia="zh-CN" w:bidi="ar"/>
        </w:rPr>
        <w:t>整体架构与互联互通测试</w:t>
      </w:r>
    </w:p>
    <w:p w14:paraId="56529763">
      <w:pPr>
        <w:ind w:firstLine="560" w:firstLineChars="200"/>
        <w:rPr>
          <w:rFonts w:hint="eastAsia"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对标准提出的“基础设施-感知-网络-平台-应用”五层总体架构，以及智能服务中台（AI中台、数据中台、业务中台）与前端应用、后端系统的接口规范与数据流转进行了集成验证，确保系统间的兼容性、可扩展性和稳定协同运行</w:t>
      </w:r>
      <w:r>
        <w:rPr>
          <w:rFonts w:hint="eastAsia" w:ascii="仿宋" w:hAnsi="仿宋" w:eastAsia="仿宋" w:cs="仿宋"/>
          <w:color w:val="000000"/>
          <w:kern w:val="0"/>
          <w:sz w:val="28"/>
          <w:szCs w:val="28"/>
          <w:lang w:val="en-US" w:eastAsia="zh-CN" w:bidi="ar"/>
        </w:rPr>
        <w:t>。</w:t>
      </w:r>
    </w:p>
    <w:p w14:paraId="4812E706">
      <w:pPr>
        <w:numPr>
          <w:ilvl w:val="0"/>
          <w:numId w:val="0"/>
        </w:numPr>
        <w:ind w:leftChars="0"/>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四、标准中涉及专利的情况</w:t>
      </w:r>
    </w:p>
    <w:p w14:paraId="3D8F2235">
      <w:pPr>
        <w:numPr>
          <w:ilvl w:val="0"/>
          <w:numId w:val="0"/>
        </w:numPr>
        <w:ind w:leftChars="0" w:firstLine="560" w:firstLineChars="200"/>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本标准不涉及专利问题。</w:t>
      </w:r>
    </w:p>
    <w:p w14:paraId="7B7439CD">
      <w:pPr>
        <w:numPr>
          <w:ilvl w:val="0"/>
          <w:numId w:val="0"/>
        </w:numPr>
        <w:ind w:leftChars="0"/>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五、预期达到的社会效益及对产业发展的作用</w:t>
      </w:r>
    </w:p>
    <w:p w14:paraId="06AC9C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280" w:firstLineChars="100"/>
        <w:jc w:val="left"/>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（一）预期社会效益</w:t>
      </w:r>
    </w:p>
    <w:p w14:paraId="26D34781">
      <w:pPr>
        <w:ind w:firstLine="560" w:firstLineChars="200"/>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w:t>
      </w:r>
      <w:r>
        <w:rPr>
          <w:rFonts w:hint="default" w:ascii="仿宋" w:hAnsi="仿宋" w:eastAsia="仿宋" w:cs="仿宋"/>
          <w:color w:val="000000"/>
          <w:kern w:val="0"/>
          <w:sz w:val="28"/>
          <w:szCs w:val="28"/>
          <w:lang w:val="en-US" w:eastAsia="zh-CN" w:bidi="ar"/>
        </w:rPr>
        <w:t>提升公共服务的便捷性与可及性</w:t>
      </w:r>
    </w:p>
    <w:p w14:paraId="4BEF68D3">
      <w:pPr>
        <w:ind w:firstLine="560" w:firstLineChars="2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通过提供7×24小时不间断的智能服务，打破传统营业厅的时间与空间限制，让用户无需排队等候，随时可办理业务，显著提升用电客户的满意度和获得感。</w:t>
      </w:r>
    </w:p>
    <w:p w14:paraId="1497784E">
      <w:pPr>
        <w:ind w:firstLine="560" w:firstLineChars="200"/>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2.</w:t>
      </w:r>
      <w:r>
        <w:rPr>
          <w:rFonts w:hint="default" w:ascii="仿宋" w:hAnsi="仿宋" w:eastAsia="仿宋" w:cs="仿宋"/>
          <w:color w:val="000000"/>
          <w:kern w:val="0"/>
          <w:sz w:val="28"/>
          <w:szCs w:val="28"/>
          <w:lang w:val="en-US" w:eastAsia="zh-CN" w:bidi="ar"/>
        </w:rPr>
        <w:t>推动全民电力素养与节能意识</w:t>
      </w:r>
    </w:p>
    <w:p w14:paraId="612E99A0">
      <w:pPr>
        <w:ind w:firstLine="560" w:firstLineChars="2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标准中强调的能源服务体验区和电力知识科普功能，通过VR/AR等互动形式，将有效普及新型电力系统、安全用电、节能降碳知识，助力形成全社会节约用电、高效用电的良好氛围。</w:t>
      </w:r>
    </w:p>
    <w:p w14:paraId="243AA7E9">
      <w:pPr>
        <w:ind w:firstLine="560" w:firstLineChars="200"/>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3.</w:t>
      </w:r>
      <w:r>
        <w:rPr>
          <w:rFonts w:hint="default" w:ascii="仿宋" w:hAnsi="仿宋" w:eastAsia="仿宋" w:cs="仿宋"/>
          <w:color w:val="000000"/>
          <w:kern w:val="0"/>
          <w:sz w:val="28"/>
          <w:szCs w:val="28"/>
          <w:lang w:val="en-US" w:eastAsia="zh-CN" w:bidi="ar"/>
        </w:rPr>
        <w:t>树立新型基础设施的标杆形象</w:t>
      </w:r>
    </w:p>
    <w:p w14:paraId="74D67FE6">
      <w:pPr>
        <w:ind w:firstLine="560" w:firstLineChars="2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作为能源行业领先的智慧服务实体，国家电网智慧无人营业厅将成为“数字中国”和“人工智能+”在公共服务领域落地的典范，展示国有企业在数字化转型中的社会责任与担当。</w:t>
      </w:r>
    </w:p>
    <w:p w14:paraId="1F32190B">
      <w:pPr>
        <w:ind w:firstLine="560" w:firstLineChars="200"/>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4.</w:t>
      </w:r>
      <w:r>
        <w:rPr>
          <w:rFonts w:hint="default" w:ascii="仿宋" w:hAnsi="仿宋" w:eastAsia="仿宋" w:cs="仿宋"/>
          <w:color w:val="000000"/>
          <w:kern w:val="0"/>
          <w:sz w:val="28"/>
          <w:szCs w:val="28"/>
          <w:lang w:val="en-US" w:eastAsia="zh-CN" w:bidi="ar"/>
        </w:rPr>
        <w:t>促进社会公平与包容性服务</w:t>
      </w:r>
    </w:p>
    <w:p w14:paraId="0F91FF01">
      <w:pPr>
        <w:ind w:firstLine="560" w:firstLineChars="2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标准中明确的无障碍设计、多方言识别、远程协助等功能，充分考虑老年人、残障人士等特殊群体的需求，有助于缩小“数字鸿沟”，提供更具包容性和温度的公共服务</w:t>
      </w:r>
      <w:r>
        <w:rPr>
          <w:rFonts w:hint="eastAsia" w:ascii="仿宋" w:hAnsi="仿宋" w:eastAsia="仿宋" w:cs="仿宋"/>
          <w:color w:val="000000"/>
          <w:kern w:val="0"/>
          <w:sz w:val="28"/>
          <w:szCs w:val="28"/>
          <w:lang w:val="en-US" w:eastAsia="zh-CN" w:bidi="ar"/>
        </w:rPr>
        <w:t>。</w:t>
      </w:r>
    </w:p>
    <w:p w14:paraId="704FEBE5">
      <w:pPr>
        <w:ind w:firstLine="560" w:firstLineChars="2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（二）对产业发展的作用</w:t>
      </w:r>
    </w:p>
    <w:p w14:paraId="3B109C13">
      <w:pPr>
        <w:ind w:firstLine="560" w:firstLineChars="200"/>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w:t>
      </w:r>
      <w:r>
        <w:rPr>
          <w:rFonts w:hint="default" w:ascii="仿宋" w:hAnsi="仿宋" w:eastAsia="仿宋" w:cs="仿宋"/>
          <w:color w:val="000000"/>
          <w:kern w:val="0"/>
          <w:sz w:val="28"/>
          <w:szCs w:val="28"/>
          <w:lang w:val="en-US" w:eastAsia="zh-CN" w:bidi="ar"/>
        </w:rPr>
        <w:t>引领电力能源服务产业的智能化升级</w:t>
      </w:r>
    </w:p>
    <w:p w14:paraId="34756BB9">
      <w:pPr>
        <w:ind w:firstLine="560" w:firstLineChars="2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该标准为整个电力能源服务行业提供了清晰、统一的智能化建设蓝图，将驱动产业链上下游企业（从设备制造到软件开发、从运营服务到系统集成）向标准化、智能化方向转型升级。</w:t>
      </w:r>
    </w:p>
    <w:p w14:paraId="6D1A7183">
      <w:pPr>
        <w:ind w:left="279" w:leftChars="133" w:firstLine="280" w:firstLineChars="100"/>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2.</w:t>
      </w:r>
      <w:r>
        <w:rPr>
          <w:rFonts w:hint="default" w:ascii="仿宋" w:hAnsi="仿宋" w:eastAsia="仿宋" w:cs="仿宋"/>
          <w:color w:val="000000"/>
          <w:kern w:val="0"/>
          <w:sz w:val="28"/>
          <w:szCs w:val="28"/>
          <w:lang w:val="en-US" w:eastAsia="zh-CN" w:bidi="ar"/>
        </w:rPr>
        <w:t>催生并壮大“AI+能源”新业态与新市场</w:t>
      </w:r>
    </w:p>
    <w:p w14:paraId="7EE7F8A2">
      <w:pPr>
        <w:ind w:firstLine="560" w:firstLineChars="2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标准对“光明智算边缘装置”、大模型应用、智能机器人等前沿技术的规模化部署提出了明确要求，将直接创造一个新的高端设备与解决方案市场，刺激人工智能、物联网、边缘计算等技术在能源领域的深度融合与创新应用。</w:t>
      </w:r>
    </w:p>
    <w:p w14:paraId="1A85354B">
      <w:pPr>
        <w:ind w:left="279" w:leftChars="133" w:firstLine="280" w:firstLineChars="100"/>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3.</w:t>
      </w:r>
      <w:r>
        <w:rPr>
          <w:rFonts w:hint="default" w:ascii="仿宋" w:hAnsi="仿宋" w:eastAsia="仿宋" w:cs="仿宋"/>
          <w:color w:val="000000"/>
          <w:kern w:val="0"/>
          <w:sz w:val="28"/>
          <w:szCs w:val="28"/>
          <w:lang w:val="en-US" w:eastAsia="zh-CN" w:bidi="ar"/>
        </w:rPr>
        <w:t>构建开放协同的产业生态体系</w:t>
      </w:r>
    </w:p>
    <w:p w14:paraId="6DF41FF7">
      <w:pPr>
        <w:ind w:firstLine="560" w:firstLineChars="2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标准中统一的架构设计、接口规范和中台化理念，有利于打破各厂商设备与系统间的壁垒，促进不同企业产品的互联互通和能力共享，从而构建一个健康、开放、协同的产业生态系统。</w:t>
      </w:r>
    </w:p>
    <w:p w14:paraId="204A7EE6">
      <w:pPr>
        <w:ind w:left="559" w:leftChars="266" w:firstLine="0" w:firstLineChars="0"/>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4.</w:t>
      </w:r>
      <w:r>
        <w:rPr>
          <w:rFonts w:hint="default" w:ascii="仿宋" w:hAnsi="仿宋" w:eastAsia="仿宋" w:cs="仿宋"/>
          <w:color w:val="000000"/>
          <w:kern w:val="0"/>
          <w:sz w:val="28"/>
          <w:szCs w:val="28"/>
          <w:lang w:val="en-US" w:eastAsia="zh-CN" w:bidi="ar"/>
        </w:rPr>
        <w:t>拉动相关高技术制造业与软件服务业发展</w:t>
      </w:r>
    </w:p>
    <w:p w14:paraId="2FAE9E74">
      <w:pPr>
        <w:ind w:firstLine="560" w:firstLineChars="200"/>
        <w:rPr>
          <w:rFonts w:hint="default"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对智能终端、传感器、网络设备、边缘计算装置、AI软件平台等的大量需求，将为国内相关高科技制造业和软件服务业带来明确的订单和增长动力，推动国产技术迭代和产业竞争力提升。</w:t>
      </w:r>
    </w:p>
    <w:p w14:paraId="7537E3F9">
      <w:pP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六、与国内、国外对比情况</w:t>
      </w:r>
    </w:p>
    <w:p w14:paraId="05AA3417">
      <w:pPr>
        <w:ind w:firstLine="560" w:firstLineChars="200"/>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本标准没有采用国际标准。</w:t>
      </w:r>
    </w:p>
    <w:p w14:paraId="32FE8CDF">
      <w:pPr>
        <w:ind w:firstLine="560" w:firstLineChars="200"/>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本标准水平为国内先进水平。</w:t>
      </w:r>
    </w:p>
    <w:p w14:paraId="061109DA">
      <w:pPr>
        <w:numPr>
          <w:ilvl w:val="0"/>
          <w:numId w:val="0"/>
        </w:numP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七、与现行相关法律法规、规章及相关标准，特别是强制性标准的协调性</w:t>
      </w:r>
    </w:p>
    <w:p w14:paraId="0EDC5EB9">
      <w:pPr>
        <w:numPr>
          <w:ilvl w:val="0"/>
          <w:numId w:val="0"/>
        </w:numPr>
        <w:ind w:firstLine="560" w:firstLineChars="200"/>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本标准与现行相关法律法规、规章及相关标准协调一致。</w:t>
      </w:r>
    </w:p>
    <w:p w14:paraId="39AB307A">
      <w:pPr>
        <w:numPr>
          <w:ilvl w:val="0"/>
          <w:numId w:val="0"/>
        </w:numP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八、重大分歧意见的处理经过和依据</w:t>
      </w:r>
    </w:p>
    <w:p w14:paraId="3432C37F">
      <w:pPr>
        <w:numPr>
          <w:ilvl w:val="0"/>
          <w:numId w:val="0"/>
        </w:numP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     无。</w:t>
      </w:r>
    </w:p>
    <w:p w14:paraId="280BE952">
      <w:pPr>
        <w:numPr>
          <w:ilvl w:val="0"/>
          <w:numId w:val="0"/>
        </w:numP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九、标准性质的建议说明</w:t>
      </w:r>
    </w:p>
    <w:p w14:paraId="405B7B9A">
      <w:pPr>
        <w:numPr>
          <w:ilvl w:val="0"/>
          <w:numId w:val="0"/>
        </w:numPr>
        <w:ind w:firstLine="560" w:firstLineChars="200"/>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本标准的性质为团体标准。</w:t>
      </w:r>
    </w:p>
    <w:p w14:paraId="60DAD164">
      <w:pPr>
        <w:numPr>
          <w:ilvl w:val="0"/>
          <w:numId w:val="0"/>
        </w:numP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十、贯彻标准的要求和措施建议</w:t>
      </w:r>
    </w:p>
    <w:p w14:paraId="26C3BE73">
      <w:pPr>
        <w:numPr>
          <w:ilvl w:val="0"/>
          <w:numId w:val="0"/>
        </w:numPr>
        <w:ind w:firstLine="560" w:firstLineChars="200"/>
        <w:rPr>
          <w:rFonts w:hint="eastAsia" w:ascii="仿宋" w:hAnsi="仿宋" w:eastAsia="仿宋" w:cs="仿宋"/>
          <w:color w:val="000000"/>
          <w:kern w:val="0"/>
          <w:sz w:val="28"/>
          <w:szCs w:val="28"/>
          <w:lang w:val="en-US" w:eastAsia="zh-CN" w:bidi="ar"/>
        </w:rPr>
      </w:pPr>
      <w:r>
        <w:rPr>
          <w:rFonts w:hint="default" w:ascii="仿宋" w:hAnsi="仿宋" w:eastAsia="仿宋" w:cs="仿宋"/>
          <w:color w:val="000000"/>
          <w:kern w:val="0"/>
          <w:sz w:val="28"/>
          <w:szCs w:val="28"/>
          <w:lang w:val="en-US" w:eastAsia="zh-CN" w:bidi="ar"/>
        </w:rPr>
        <w:t>建议本文件批准发布</w:t>
      </w:r>
      <w:r>
        <w:rPr>
          <w:rFonts w:hint="eastAsia" w:ascii="仿宋" w:hAnsi="仿宋" w:eastAsia="仿宋" w:cs="仿宋"/>
          <w:color w:val="000000"/>
          <w:kern w:val="0"/>
          <w:sz w:val="28"/>
          <w:szCs w:val="28"/>
          <w:lang w:val="en-US" w:eastAsia="zh-CN" w:bidi="ar"/>
        </w:rPr>
        <w:t>1</w:t>
      </w:r>
      <w:r>
        <w:rPr>
          <w:rFonts w:hint="default" w:ascii="仿宋" w:hAnsi="仿宋" w:eastAsia="仿宋" w:cs="仿宋"/>
          <w:color w:val="000000"/>
          <w:kern w:val="0"/>
          <w:sz w:val="28"/>
          <w:szCs w:val="28"/>
          <w:lang w:val="en-US" w:eastAsia="zh-CN" w:bidi="ar"/>
        </w:rPr>
        <w:t>个月后实施</w:t>
      </w:r>
      <w:r>
        <w:rPr>
          <w:rFonts w:hint="eastAsia" w:ascii="仿宋" w:hAnsi="仿宋" w:eastAsia="仿宋" w:cs="仿宋"/>
          <w:color w:val="000000"/>
          <w:kern w:val="0"/>
          <w:sz w:val="28"/>
          <w:szCs w:val="28"/>
          <w:lang w:val="en-US" w:eastAsia="zh-CN" w:bidi="ar"/>
        </w:rPr>
        <w:t>。</w:t>
      </w:r>
    </w:p>
    <w:p w14:paraId="25CE6448">
      <w:pPr>
        <w:numPr>
          <w:ilvl w:val="0"/>
          <w:numId w:val="0"/>
        </w:numP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十一、废止现行相关标准的建议</w:t>
      </w:r>
    </w:p>
    <w:p w14:paraId="53F40B84">
      <w:pPr>
        <w:numPr>
          <w:ilvl w:val="0"/>
          <w:numId w:val="0"/>
        </w:numPr>
        <w:ind w:leftChars="200"/>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  无。</w:t>
      </w:r>
    </w:p>
    <w:p w14:paraId="2EE6DC00">
      <w:pPr>
        <w:numPr>
          <w:ilvl w:val="0"/>
          <w:numId w:val="0"/>
        </w:numPr>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十二、其他应予说明的事项</w:t>
      </w:r>
    </w:p>
    <w:p w14:paraId="2A068E06">
      <w:pPr>
        <w:numPr>
          <w:ilvl w:val="0"/>
          <w:numId w:val="0"/>
        </w:numPr>
        <w:ind w:leftChars="200"/>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  无其他应予说明的事项。</w:t>
      </w:r>
    </w:p>
    <w:p w14:paraId="5352F95D">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FF0B88"/>
    <w:multiLevelType w:val="singleLevel"/>
    <w:tmpl w:val="AAFF0B88"/>
    <w:lvl w:ilvl="0" w:tentative="0">
      <w:start w:val="1"/>
      <w:numFmt w:val="decimal"/>
      <w:lvlText w:val="%1."/>
      <w:lvlJc w:val="left"/>
      <w:pPr>
        <w:tabs>
          <w:tab w:val="left" w:pos="312"/>
        </w:tabs>
      </w:pPr>
    </w:lvl>
  </w:abstractNum>
  <w:abstractNum w:abstractNumId="1">
    <w:nsid w:val="375F036B"/>
    <w:multiLevelType w:val="singleLevel"/>
    <w:tmpl w:val="375F036B"/>
    <w:lvl w:ilvl="0" w:tentative="0">
      <w:start w:val="1"/>
      <w:numFmt w:val="chineseCounting"/>
      <w:suff w:val="nothing"/>
      <w:lvlText w:val="%1、"/>
      <w:lvlJc w:val="left"/>
      <w:rPr>
        <w:rFonts w:hint="eastAsia"/>
      </w:rPr>
    </w:lvl>
  </w:abstractNum>
  <w:abstractNum w:abstractNumId="2">
    <w:nsid w:val="657D3FBC"/>
    <w:multiLevelType w:val="multilevel"/>
    <w:tmpl w:val="657D3FBC"/>
    <w:lvl w:ilvl="0" w:tentative="0">
      <w:start w:val="1"/>
      <w:numFmt w:val="upperLetter"/>
      <w:pStyle w:val="13"/>
      <w:suff w:val="nothing"/>
      <w:lvlText w:val="附录%1"/>
      <w:lvlJc w:val="left"/>
      <w:pPr>
        <w:ind w:left="0" w:firstLine="0"/>
      </w:pPr>
      <w:rPr>
        <w:rFonts w:hint="eastAsia"/>
        <w:spacing w:val="100"/>
      </w:rPr>
    </w:lvl>
    <w:lvl w:ilvl="1" w:tentative="0">
      <w:start w:val="1"/>
      <w:numFmt w:val="decimal"/>
      <w:suff w:val="nothing"/>
      <w:lvlText w:val="%1.%2　"/>
      <w:lvlJc w:val="left"/>
      <w:pPr>
        <w:ind w:left="1134"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5"/>
      <w:suff w:val="nothing"/>
      <w:lvlText w:val="%1%2　"/>
      <w:lvlJc w:val="left"/>
      <w:pPr>
        <w:ind w:left="0" w:firstLine="0"/>
      </w:pPr>
      <w:rPr>
        <w:rFonts w:hint="eastAsia" w:ascii="黑体" w:eastAsia="黑体"/>
        <w:b w:val="0"/>
        <w:i w:val="0"/>
        <w:sz w:val="21"/>
      </w:rPr>
    </w:lvl>
    <w:lvl w:ilvl="2" w:tentative="0">
      <w:start w:val="1"/>
      <w:numFmt w:val="decimal"/>
      <w:pStyle w:val="14"/>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2"/>
      <w:suff w:val="nothing"/>
      <w:lvlText w:val="%1%2.%3.%4　"/>
      <w:lvlJc w:val="left"/>
      <w:pPr>
        <w:ind w:left="1134" w:firstLine="0"/>
      </w:pPr>
      <w:rPr>
        <w:rFonts w:hint="eastAsia" w:ascii="黑体" w:eastAsia="黑体"/>
        <w:b w:val="0"/>
        <w:i w:val="0"/>
        <w:sz w:val="21"/>
      </w:rPr>
    </w:lvl>
    <w:lvl w:ilvl="4" w:tentative="0">
      <w:start w:val="1"/>
      <w:numFmt w:val="decimal"/>
      <w:pStyle w:val="11"/>
      <w:suff w:val="nothing"/>
      <w:lvlText w:val="%1%2.%3.%4.%5　"/>
      <w:lvlJc w:val="left"/>
      <w:pPr>
        <w:ind w:left="2551"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3Y2I3OTRlNTA1NjUwZGY1NGI3NTM4NWZhMGI4N2IifQ=="/>
  </w:docVars>
  <w:rsids>
    <w:rsidRoot w:val="36785A84"/>
    <w:rsid w:val="00732204"/>
    <w:rsid w:val="00AA3CEC"/>
    <w:rsid w:val="03E272F9"/>
    <w:rsid w:val="06B162BA"/>
    <w:rsid w:val="079F390A"/>
    <w:rsid w:val="07F910B5"/>
    <w:rsid w:val="0B0C7351"/>
    <w:rsid w:val="0BCE7568"/>
    <w:rsid w:val="0D6A3EDB"/>
    <w:rsid w:val="0F2F7645"/>
    <w:rsid w:val="0F8C0A60"/>
    <w:rsid w:val="0FE706B3"/>
    <w:rsid w:val="10E8616A"/>
    <w:rsid w:val="10F25E57"/>
    <w:rsid w:val="114415F3"/>
    <w:rsid w:val="11625F1D"/>
    <w:rsid w:val="11D72467"/>
    <w:rsid w:val="1348588F"/>
    <w:rsid w:val="13F72568"/>
    <w:rsid w:val="161F6F26"/>
    <w:rsid w:val="16A9014A"/>
    <w:rsid w:val="186C48D3"/>
    <w:rsid w:val="18C223C4"/>
    <w:rsid w:val="191A0CB5"/>
    <w:rsid w:val="1AA2738A"/>
    <w:rsid w:val="1BFE4A94"/>
    <w:rsid w:val="1D3614FA"/>
    <w:rsid w:val="1E6905F2"/>
    <w:rsid w:val="1F225822"/>
    <w:rsid w:val="1FED58B5"/>
    <w:rsid w:val="200060AE"/>
    <w:rsid w:val="21EC722B"/>
    <w:rsid w:val="250E3F9A"/>
    <w:rsid w:val="26451C3D"/>
    <w:rsid w:val="27820E2A"/>
    <w:rsid w:val="28DF3005"/>
    <w:rsid w:val="2A2E4796"/>
    <w:rsid w:val="2F8961C3"/>
    <w:rsid w:val="33E10ACB"/>
    <w:rsid w:val="354F3741"/>
    <w:rsid w:val="361D6B92"/>
    <w:rsid w:val="36785A84"/>
    <w:rsid w:val="389E51DD"/>
    <w:rsid w:val="39DA2245"/>
    <w:rsid w:val="3AAA7E69"/>
    <w:rsid w:val="3AFC78C5"/>
    <w:rsid w:val="3BD83F86"/>
    <w:rsid w:val="3BD90AEE"/>
    <w:rsid w:val="3C640993"/>
    <w:rsid w:val="3D18555E"/>
    <w:rsid w:val="3EDB4A95"/>
    <w:rsid w:val="41CC2DBB"/>
    <w:rsid w:val="436D4129"/>
    <w:rsid w:val="46472C0D"/>
    <w:rsid w:val="46B60FA8"/>
    <w:rsid w:val="46C6118A"/>
    <w:rsid w:val="47E164DE"/>
    <w:rsid w:val="492258A8"/>
    <w:rsid w:val="4989327C"/>
    <w:rsid w:val="4A656FDB"/>
    <w:rsid w:val="4B72052F"/>
    <w:rsid w:val="4BD034A7"/>
    <w:rsid w:val="4C34134A"/>
    <w:rsid w:val="4E30022D"/>
    <w:rsid w:val="51CC5275"/>
    <w:rsid w:val="53262767"/>
    <w:rsid w:val="53285977"/>
    <w:rsid w:val="56D17A25"/>
    <w:rsid w:val="58050C3F"/>
    <w:rsid w:val="5D6464CA"/>
    <w:rsid w:val="5D881E34"/>
    <w:rsid w:val="5F24793A"/>
    <w:rsid w:val="5F4D1996"/>
    <w:rsid w:val="60C90799"/>
    <w:rsid w:val="62D874D1"/>
    <w:rsid w:val="635B58F5"/>
    <w:rsid w:val="636F54AF"/>
    <w:rsid w:val="66A80E51"/>
    <w:rsid w:val="66CC325D"/>
    <w:rsid w:val="6A47355E"/>
    <w:rsid w:val="6A6257BB"/>
    <w:rsid w:val="6BF84629"/>
    <w:rsid w:val="6CC16FAD"/>
    <w:rsid w:val="6D995997"/>
    <w:rsid w:val="706155B2"/>
    <w:rsid w:val="70841098"/>
    <w:rsid w:val="73CA1587"/>
    <w:rsid w:val="73DE2356"/>
    <w:rsid w:val="740F250F"/>
    <w:rsid w:val="744F5002"/>
    <w:rsid w:val="766A7ED1"/>
    <w:rsid w:val="780954C8"/>
    <w:rsid w:val="79FA5A10"/>
    <w:rsid w:val="7A514736"/>
    <w:rsid w:val="7B4038F6"/>
    <w:rsid w:val="7DFC3B04"/>
    <w:rsid w:val="7E7A5E41"/>
    <w:rsid w:val="7F483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header"/>
    <w:basedOn w:val="1"/>
    <w:unhideWhenUsed/>
    <w:qFormat/>
    <w:uiPriority w:val="99"/>
    <w:pPr>
      <w:tabs>
        <w:tab w:val="center" w:pos="4153"/>
        <w:tab w:val="right" w:pos="8306"/>
      </w:tabs>
      <w:snapToGrid w:val="0"/>
      <w:jc w:val="center"/>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Emphasis"/>
    <w:basedOn w:val="6"/>
    <w:autoRedefine/>
    <w:qFormat/>
    <w:uiPriority w:val="0"/>
    <w:rPr>
      <w:i/>
    </w:rPr>
  </w:style>
  <w:style w:type="character" w:styleId="9">
    <w:name w:val="Hyperlink"/>
    <w:autoRedefine/>
    <w:qFormat/>
    <w:uiPriority w:val="99"/>
    <w:rPr>
      <w:rFonts w:ascii="宋体" w:hAnsi="Times New Roman" w:eastAsia="宋体"/>
      <w:color w:val="auto"/>
      <w:spacing w:val="0"/>
      <w:w w:val="100"/>
      <w:position w:val="0"/>
      <w:sz w:val="21"/>
      <w:u w:val="none"/>
    </w:rPr>
  </w:style>
  <w:style w:type="paragraph" w:customStyle="1" w:styleId="10">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
    <w:name w:val="标准文件_三级条标题"/>
    <w:basedOn w:val="12"/>
    <w:next w:val="10"/>
    <w:autoRedefine/>
    <w:qFormat/>
    <w:uiPriority w:val="0"/>
    <w:pPr>
      <w:widowControl/>
      <w:numPr>
        <w:ilvl w:val="4"/>
      </w:numPr>
      <w:ind w:left="0"/>
      <w:outlineLvl w:val="3"/>
    </w:pPr>
  </w:style>
  <w:style w:type="paragraph" w:customStyle="1" w:styleId="12">
    <w:name w:val="标准文件_二级条标题"/>
    <w:next w:val="10"/>
    <w:autoRedefine/>
    <w:qFormat/>
    <w:uiPriority w:val="0"/>
    <w:pPr>
      <w:widowControl w:val="0"/>
      <w:numPr>
        <w:ilvl w:val="3"/>
        <w:numId w:val="1"/>
      </w:numPr>
      <w:spacing w:before="50" w:beforeLines="50" w:after="50" w:afterLines="50"/>
      <w:ind w:left="0"/>
      <w:jc w:val="both"/>
      <w:outlineLvl w:val="2"/>
    </w:pPr>
    <w:rPr>
      <w:rFonts w:ascii="黑体" w:hAnsi="Times New Roman" w:eastAsia="黑体" w:cs="Times New Roman"/>
      <w:sz w:val="21"/>
      <w:lang w:val="en-US" w:eastAsia="zh-CN" w:bidi="ar-SA"/>
    </w:rPr>
  </w:style>
  <w:style w:type="paragraph" w:customStyle="1" w:styleId="13">
    <w:name w:val="标准文件_附录标识"/>
    <w:next w:val="10"/>
    <w:autoRedefine/>
    <w:qFormat/>
    <w:uiPriority w:val="0"/>
    <w:pPr>
      <w:numPr>
        <w:ilvl w:val="0"/>
        <w:numId w:val="2"/>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4">
    <w:name w:val="标准文件_一级条标题"/>
    <w:basedOn w:val="15"/>
    <w:next w:val="10"/>
    <w:qFormat/>
    <w:uiPriority w:val="0"/>
    <w:pPr>
      <w:numPr>
        <w:ilvl w:val="2"/>
      </w:numPr>
      <w:spacing w:before="50" w:beforeLines="50" w:after="50" w:afterLines="50"/>
      <w:outlineLvl w:val="1"/>
    </w:pPr>
  </w:style>
  <w:style w:type="paragraph" w:customStyle="1" w:styleId="15">
    <w:name w:val="标准文件_章标题"/>
    <w:next w:val="10"/>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2404</Words>
  <Characters>2523</Characters>
  <Lines>0</Lines>
  <Paragraphs>0</Paragraphs>
  <TotalTime>4</TotalTime>
  <ScaleCrop>false</ScaleCrop>
  <LinksUpToDate>false</LinksUpToDate>
  <CharactersWithSpaces>2544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2023-10-10T06:21:00Z</dcterms:created>
  <dc:creator>境由心生</dc:creator>
  <cp:lastModifiedBy>境由心生</cp:lastModifiedBy>
  <dcterms:modified xsi:type="dcterms:W3CDTF">2025-10-24T08:38:45Z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CE5AC58C67DD4A68B33FFC336538C19D_13</vt:lpwstr>
  </property>
  <property fmtid="{D5CDD505-2E9C-101B-9397-08002B2CF9AE}" pid="4" name="KSOTemplateDocerSaveRecord">
    <vt:lpwstr>eyJoZGlkIjoiYTQ0OTE1YmY0MjFlMDRlZjFkYWM2YmVkMGE2MTQ0MzMiLCJ1c2VySWQiOiI5NDE1MzQzMDUifQ==</vt:lpwstr>
  </property>
</Properties>
</file>