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EF703">
      <w:pPr>
        <w:pStyle w:val="3"/>
        <w:keepNext w:val="0"/>
        <w:keepLines w:val="0"/>
        <w:widowControl/>
        <w:suppressLineNumbers w:val="0"/>
        <w:spacing w:before="0" w:beforeAutospacing="0" w:after="0" w:afterAutospacing="0"/>
        <w:ind w:right="0" w:firstLine="1600" w:firstLineChars="500"/>
        <w:rPr>
          <w:rFonts w:hint="eastAsia"/>
          <w:sz w:val="32"/>
          <w:szCs w:val="32"/>
          <w:lang w:eastAsia="zh-CN"/>
        </w:rPr>
      </w:pPr>
      <w:r>
        <w:rPr>
          <w:rFonts w:hint="eastAsia"/>
          <w:sz w:val="32"/>
          <w:szCs w:val="32"/>
          <w:lang w:eastAsia="zh-CN"/>
        </w:rPr>
        <w:t>《体外循环模拟系统技术规范》编制说明</w:t>
      </w:r>
    </w:p>
    <w:p w14:paraId="2DE32E43">
      <w:pPr>
        <w:jc w:val="center"/>
        <w:rPr>
          <w:rFonts w:hint="eastAsia"/>
          <w:sz w:val="28"/>
          <w:szCs w:val="28"/>
          <w:lang w:eastAsia="zh-CN"/>
        </w:rPr>
      </w:pPr>
      <w:r>
        <w:rPr>
          <w:rFonts w:hint="eastAsia"/>
          <w:sz w:val="28"/>
          <w:szCs w:val="28"/>
          <w:lang w:eastAsia="zh-CN"/>
        </w:rPr>
        <w:t>（征求意见稿）</w:t>
      </w:r>
    </w:p>
    <w:p w14:paraId="18F166F3">
      <w:pPr>
        <w:numPr>
          <w:ilvl w:val="0"/>
          <w:numId w:val="3"/>
        </w:numPr>
        <w:jc w:val="both"/>
        <w:rPr>
          <w:rFonts w:hint="eastAsia"/>
          <w:color w:val="000000"/>
          <w:sz w:val="28"/>
          <w:szCs w:val="28"/>
          <w:lang w:eastAsia="zh-CN"/>
        </w:rPr>
      </w:pPr>
      <w:r>
        <w:rPr>
          <w:rFonts w:hint="eastAsia"/>
          <w:color w:val="000000"/>
          <w:sz w:val="28"/>
          <w:szCs w:val="28"/>
          <w:lang w:eastAsia="zh-CN"/>
        </w:rPr>
        <w:t>工作简况</w:t>
      </w:r>
    </w:p>
    <w:p w14:paraId="1345D504">
      <w:pPr>
        <w:numPr>
          <w:ilvl w:val="0"/>
          <w:numId w:val="4"/>
        </w:numPr>
        <w:jc w:val="both"/>
        <w:rPr>
          <w:rFonts w:hint="eastAsia"/>
          <w:color w:val="000000"/>
          <w:sz w:val="28"/>
          <w:szCs w:val="28"/>
          <w:lang w:eastAsia="zh-CN"/>
        </w:rPr>
      </w:pPr>
      <w:r>
        <w:rPr>
          <w:rFonts w:hint="eastAsia"/>
          <w:color w:val="000000"/>
          <w:sz w:val="28"/>
          <w:szCs w:val="28"/>
          <w:lang w:eastAsia="zh-CN"/>
        </w:rPr>
        <w:t>任务来源</w:t>
      </w:r>
    </w:p>
    <w:p w14:paraId="19721C27">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《体外循环模拟系统技术规范》团体标准（以下简称“标准”）由山东省装备制造业协会提出并归口，主要起草单位：潍坊学院，计划完成时间：2025年11月。</w:t>
      </w:r>
    </w:p>
    <w:p w14:paraId="4436A769">
      <w:pPr>
        <w:numPr>
          <w:ilvl w:val="0"/>
          <w:numId w:val="4"/>
        </w:numPr>
        <w:ind w:left="0" w:leftChars="0" w:firstLine="0" w:firstLineChars="0"/>
        <w:jc w:val="both"/>
        <w:rPr>
          <w:rFonts w:hint="eastAsia"/>
          <w:color w:val="000000"/>
          <w:sz w:val="28"/>
          <w:szCs w:val="28"/>
          <w:lang w:val="en-US" w:eastAsia="zh-CN"/>
        </w:rPr>
      </w:pPr>
      <w:r>
        <w:rPr>
          <w:rFonts w:hint="eastAsia"/>
          <w:color w:val="000000"/>
          <w:sz w:val="28"/>
          <w:szCs w:val="28"/>
          <w:lang w:val="en-US" w:eastAsia="zh-CN"/>
        </w:rPr>
        <w:t>主要工作过程</w:t>
      </w:r>
    </w:p>
    <w:p w14:paraId="1E87035E">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（1）2025年3月</w:t>
      </w:r>
      <w:r>
        <w:rPr>
          <w:rFonts w:hint="eastAsia" w:ascii="宋体" w:hAnsi="宋体" w:eastAsia="宋体" w:cs="宋体"/>
          <w:color w:val="000000"/>
          <w:kern w:val="0"/>
          <w:sz w:val="28"/>
          <w:szCs w:val="28"/>
          <w:lang w:val="en-US" w:eastAsia="zh-CN" w:bidi="ar"/>
        </w:rPr>
        <w:t>—</w:t>
      </w:r>
      <w:r>
        <w:rPr>
          <w:rFonts w:hint="eastAsia" w:ascii="仿宋" w:hAnsi="仿宋" w:eastAsia="仿宋" w:cs="仿宋"/>
          <w:color w:val="000000"/>
          <w:kern w:val="0"/>
          <w:sz w:val="28"/>
          <w:szCs w:val="28"/>
          <w:lang w:val="en-US" w:eastAsia="zh-CN" w:bidi="ar"/>
        </w:rPr>
        <w:t>2025年6月，山东省装备制造业协会标准化工作委员会组织各起草单位成立了“体外循环模拟系统技术规范”标准制定工作组，由潍坊学院担任主要起草单位。工作组在充分调研国内外体外循环模拟系统技术现状与应用需求的基础上，结合心血管医疗器械研发与教学实际，明确了标准的技术范围与主要内容。起草组多次组织内部技术研讨，初步确定了系统组成、功能要求、技术参数及试验方法等核心内容，并于2025年6月完成了初稿的撰写。初稿涵盖了模拟循环回路、驱动装置、参数监测、控制模块等关键部分的技术要求，为后续完善奠定了基础。</w:t>
      </w:r>
    </w:p>
    <w:p w14:paraId="6294004D">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2025年7月—2023年9月，工作组邀请相关机构、行业专家组织召开多次研讨会，针对系统模拟模式、参数精度、可靠性及安全性等关键指标开展了讨论，结合模拟血液理化特性等附录内容，进一步细化了技术要求和试验方法。同时，依据GB/T 1.1—2020对文本结构、术语表述进行了统一修订，提升了标准的规范性与适用性。在此基础上于2025年9月10日形成征求意见稿，报送至协会标准化工作委员会。</w:t>
      </w:r>
    </w:p>
    <w:p w14:paraId="0A1878B8">
      <w:pPr>
        <w:numPr>
          <w:ilvl w:val="0"/>
          <w:numId w:val="4"/>
        </w:numPr>
        <w:ind w:left="0" w:leftChars="0" w:firstLine="0" w:firstLineChars="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主要参加单位和工作组成员及其所做的工作等</w:t>
      </w:r>
    </w:p>
    <w:p w14:paraId="7FE8FB0A">
      <w:pPr>
        <w:keepNext w:val="0"/>
        <w:keepLines w:val="0"/>
        <w:widowControl/>
        <w:suppressLineNumbers w:val="0"/>
        <w:ind w:firstLine="560" w:firstLineChars="200"/>
        <w:jc w:val="left"/>
        <w:rPr>
          <w:rFonts w:hint="default" w:ascii="仿宋" w:hAnsi="仿宋" w:eastAsia="仿宋" w:cs="仿宋"/>
          <w:color w:val="FF0000"/>
          <w:kern w:val="0"/>
          <w:sz w:val="28"/>
          <w:szCs w:val="28"/>
          <w:lang w:val="en-US" w:eastAsia="zh-CN" w:bidi="ar"/>
        </w:rPr>
      </w:pPr>
      <w:r>
        <w:rPr>
          <w:rFonts w:hint="default" w:ascii="仿宋" w:hAnsi="仿宋" w:eastAsia="仿宋" w:cs="仿宋"/>
          <w:color w:val="000000"/>
          <w:kern w:val="0"/>
          <w:sz w:val="28"/>
          <w:szCs w:val="28"/>
          <w:lang w:val="en-US" w:eastAsia="zh-CN" w:bidi="ar"/>
        </w:rPr>
        <w:t>本</w:t>
      </w:r>
      <w:r>
        <w:rPr>
          <w:rFonts w:hint="eastAsia" w:ascii="仿宋" w:hAnsi="仿宋" w:eastAsia="仿宋" w:cs="仿宋"/>
          <w:color w:val="000000"/>
          <w:kern w:val="0"/>
          <w:sz w:val="28"/>
          <w:szCs w:val="28"/>
          <w:lang w:val="en-US" w:eastAsia="zh-CN" w:bidi="ar"/>
        </w:rPr>
        <w:t>标准</w:t>
      </w:r>
      <w:r>
        <w:rPr>
          <w:rFonts w:hint="default" w:ascii="仿宋" w:hAnsi="仿宋" w:eastAsia="仿宋" w:cs="仿宋"/>
          <w:color w:val="000000"/>
          <w:kern w:val="0"/>
          <w:sz w:val="28"/>
          <w:szCs w:val="28"/>
          <w:lang w:val="en-US" w:eastAsia="zh-CN" w:bidi="ar"/>
        </w:rPr>
        <w:t>由</w:t>
      </w:r>
      <w:r>
        <w:rPr>
          <w:rFonts w:hint="eastAsia" w:ascii="仿宋" w:hAnsi="仿宋" w:eastAsia="仿宋" w:cs="仿宋"/>
          <w:color w:val="000000"/>
          <w:kern w:val="0"/>
          <w:sz w:val="28"/>
          <w:szCs w:val="28"/>
          <w:lang w:val="en-US" w:eastAsia="zh-CN" w:bidi="ar"/>
        </w:rPr>
        <w:t>潍坊学院</w:t>
      </w:r>
      <w:r>
        <w:rPr>
          <w:rFonts w:hint="default" w:ascii="仿宋" w:hAnsi="仿宋" w:eastAsia="仿宋" w:cs="仿宋"/>
          <w:color w:val="auto"/>
          <w:kern w:val="0"/>
          <w:sz w:val="28"/>
          <w:szCs w:val="28"/>
          <w:lang w:val="en-US" w:eastAsia="zh-CN" w:bidi="ar"/>
        </w:rPr>
        <w:t>等单位共同起草。</w:t>
      </w:r>
    </w:p>
    <w:p w14:paraId="4C201344">
      <w:pPr>
        <w:keepNext w:val="0"/>
        <w:keepLines w:val="0"/>
        <w:widowControl/>
        <w:suppressLineNumbers w:val="0"/>
        <w:ind w:firstLine="560" w:firstLineChars="200"/>
        <w:jc w:val="left"/>
        <w:rPr>
          <w:rFonts w:hint="eastAsia" w:ascii="仿宋" w:hAnsi="仿宋" w:eastAsia="仿宋" w:cs="仿宋"/>
          <w:color w:val="FF0000"/>
          <w:kern w:val="0"/>
          <w:sz w:val="28"/>
          <w:szCs w:val="28"/>
          <w:lang w:val="en-US" w:eastAsia="zh-CN" w:bidi="ar"/>
        </w:rPr>
      </w:pPr>
      <w:r>
        <w:rPr>
          <w:rFonts w:hint="default" w:ascii="仿宋" w:hAnsi="仿宋" w:eastAsia="仿宋" w:cs="仿宋"/>
          <w:color w:val="FF0000"/>
          <w:kern w:val="0"/>
          <w:sz w:val="28"/>
          <w:szCs w:val="28"/>
          <w:lang w:val="en-US" w:eastAsia="zh-CN" w:bidi="ar"/>
        </w:rPr>
        <w:t>主要成员：</w:t>
      </w:r>
      <w:r>
        <w:rPr>
          <w:rFonts w:hint="eastAsia" w:ascii="仿宋" w:hAnsi="仿宋" w:eastAsia="仿宋" w:cs="仿宋"/>
          <w:color w:val="FF0000"/>
          <w:kern w:val="0"/>
          <w:sz w:val="28"/>
          <w:szCs w:val="28"/>
          <w:lang w:val="en-US" w:eastAsia="zh-CN" w:bidi="ar"/>
        </w:rPr>
        <w:t>。</w:t>
      </w:r>
    </w:p>
    <w:p w14:paraId="1D2FA6A8">
      <w:pPr>
        <w:keepNext w:val="0"/>
        <w:keepLines w:val="0"/>
        <w:widowControl/>
        <w:suppressLineNumbers w:val="0"/>
        <w:ind w:firstLine="560" w:firstLineChars="200"/>
        <w:jc w:val="left"/>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所做的工作</w:t>
      </w:r>
      <w:r>
        <w:rPr>
          <w:rFonts w:hint="eastAsia" w:ascii="仿宋" w:hAnsi="仿宋" w:eastAsia="仿宋" w:cs="仿宋"/>
          <w:color w:val="000000"/>
          <w:kern w:val="0"/>
          <w:sz w:val="28"/>
          <w:szCs w:val="28"/>
          <w:lang w:val="en-US" w:eastAsia="zh-CN" w:bidi="ar"/>
        </w:rPr>
        <w:t>：。</w:t>
      </w:r>
    </w:p>
    <w:p w14:paraId="11943807">
      <w:pPr>
        <w:keepNext w:val="0"/>
        <w:keepLines w:val="0"/>
        <w:widowControl/>
        <w:numPr>
          <w:ilvl w:val="0"/>
          <w:numId w:val="3"/>
        </w:numPr>
        <w:suppressLineNumbers w:val="0"/>
        <w:ind w:left="0" w:leftChars="0" w:firstLine="0" w:firstLineChars="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标准编制原则和主要内容</w:t>
      </w:r>
    </w:p>
    <w:p w14:paraId="6F1689CB">
      <w:pPr>
        <w:keepNext w:val="0"/>
        <w:keepLines w:val="0"/>
        <w:widowControl/>
        <w:numPr>
          <w:ilvl w:val="0"/>
          <w:numId w:val="0"/>
        </w:numPr>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（一）标准编制原则</w:t>
      </w:r>
    </w:p>
    <w:p w14:paraId="34EE9CA7">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本标准严格按照GB/T 1.1-2020《标准化工作导则 第1部分：标准化文件的结构和起草规则》的规定进行编写和表述</w:t>
      </w:r>
      <w:r>
        <w:rPr>
          <w:rFonts w:hint="eastAsia" w:ascii="仿宋" w:hAnsi="仿宋" w:eastAsia="仿宋" w:cs="仿宋"/>
          <w:color w:val="000000"/>
          <w:kern w:val="0"/>
          <w:sz w:val="28"/>
          <w:szCs w:val="28"/>
          <w:lang w:val="en-US" w:eastAsia="zh-CN" w:bidi="ar"/>
        </w:rPr>
        <w:t>，并遵循下列原则：</w:t>
      </w:r>
    </w:p>
    <w:p w14:paraId="6DB09745">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1.科学性与先进性原则</w:t>
      </w:r>
    </w:p>
    <w:p w14:paraId="6251922F">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标准内容紧密结合体外循环模拟技术的国内外发展现状与前沿趋势，技术要求如血流动力学参数范围、传感器精度、系统可靠性等指标均基于心血管生理学原理和工程实践，确保技术内容的科学准确与适度前瞻，引导产品技术升级。</w:t>
      </w:r>
    </w:p>
    <w:p w14:paraId="1A1A94E5">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w:t>
      </w:r>
      <w:r>
        <w:rPr>
          <w:rFonts w:hint="default" w:ascii="仿宋" w:hAnsi="仿宋" w:eastAsia="仿宋" w:cs="仿宋"/>
          <w:color w:val="000000"/>
          <w:kern w:val="0"/>
          <w:sz w:val="28"/>
          <w:szCs w:val="28"/>
          <w:lang w:val="en-US" w:eastAsia="zh-CN" w:bidi="ar"/>
        </w:rPr>
        <w:t>适用性与可操作性原则</w:t>
      </w:r>
    </w:p>
    <w:p w14:paraId="17F2868E">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标准充分考虑了其在医疗器械研发、教学演示及临床前测试中的实际应用场景。所规定的系统组成、功能要求、试验方法和检验规则明确、具体，测试方法均引用现行有效的国家标准的成熟方法，便于生产方制造、质检方验证及使用方评估，具备良好的可实施性。</w:t>
      </w:r>
    </w:p>
    <w:p w14:paraId="39BC081D">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w:t>
      </w:r>
      <w:r>
        <w:rPr>
          <w:rFonts w:hint="default" w:ascii="仿宋" w:hAnsi="仿宋" w:eastAsia="仿宋" w:cs="仿宋"/>
          <w:color w:val="000000"/>
          <w:kern w:val="0"/>
          <w:sz w:val="28"/>
          <w:szCs w:val="28"/>
          <w:lang w:val="en-US" w:eastAsia="zh-CN" w:bidi="ar"/>
        </w:rPr>
        <w:t>安全性与可靠性原则</w:t>
      </w:r>
    </w:p>
    <w:p w14:paraId="2AAFABB5">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将安全置于核心位置，标准不仅严格遵循GB 9706.1等医用电气设备安全通用要求，还专门规定了生物安全性、机械防护及环境适应性等条款，确保系统在科研与教学使用过程中对操作者与环境的安全。同时，通过可靠性试验要求，保障系统运行的持续稳定。</w:t>
      </w:r>
    </w:p>
    <w:p w14:paraId="5189D6C4">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w:t>
      </w:r>
      <w:r>
        <w:rPr>
          <w:rFonts w:hint="default" w:ascii="仿宋" w:hAnsi="仿宋" w:eastAsia="仿宋" w:cs="仿宋"/>
          <w:color w:val="000000"/>
          <w:kern w:val="0"/>
          <w:sz w:val="28"/>
          <w:szCs w:val="28"/>
          <w:lang w:val="en-US" w:eastAsia="zh-CN" w:bidi="ar"/>
        </w:rPr>
        <w:t>协调性与规范性原则</w:t>
      </w:r>
    </w:p>
    <w:p w14:paraId="4C62FCC4">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标准内容上与多项现行的国家、行业标准（如化工产品测试、软件质量、环境试验等）保持协调一致，引用其成熟方法，构成了一个完整、协调的技术规范体系。</w:t>
      </w:r>
    </w:p>
    <w:p w14:paraId="0B4FA558">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5.</w:t>
      </w:r>
      <w:r>
        <w:rPr>
          <w:rFonts w:hint="default" w:ascii="仿宋" w:hAnsi="仿宋" w:eastAsia="仿宋" w:cs="仿宋"/>
          <w:color w:val="000000"/>
          <w:kern w:val="0"/>
          <w:sz w:val="28"/>
          <w:szCs w:val="28"/>
          <w:lang w:val="en-US" w:eastAsia="zh-CN" w:bidi="ar"/>
        </w:rPr>
        <w:t>引领性与实用性原则</w:t>
      </w:r>
    </w:p>
    <w:p w14:paraId="361189CF">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作为团体标准，在满足当前行业基本需求的同时，针对模拟系统的关键性能（如多病理模式模拟、参数监测精度、模拟血液理化特性）提出了明确且具体的高要求，旨在规范和引领该领域产品的质量提升与技术发展，满足心血管领域日益精细化的研发与测试需求。</w:t>
      </w:r>
    </w:p>
    <w:p w14:paraId="2387FE59">
      <w:pPr>
        <w:keepNext w:val="0"/>
        <w:keepLines w:val="0"/>
        <w:widowControl/>
        <w:numPr>
          <w:ilvl w:val="0"/>
          <w:numId w:val="0"/>
        </w:numPr>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（二）标准主要内容</w:t>
      </w:r>
    </w:p>
    <w:p w14:paraId="56ABE3C4">
      <w:pPr>
        <w:pStyle w:val="10"/>
        <w:ind w:firstLine="42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本标准规定了体外循环模拟系统的系统组成及功能、技术要求、检验规则、标志、包装、运输及贮存，描述了对应的试验方法。主要内容包括：</w:t>
      </w:r>
    </w:p>
    <w:p w14:paraId="5B30FF64">
      <w:p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第1章：范围。本章规定了文件的适用范围，明确了本规范适用于心血管医疗器械研发、教学及临床前测试所用的模拟循环平台，不适用于直接接入人体的治疗设备或单一参数模拟装置。</w:t>
      </w:r>
    </w:p>
    <w:p w14:paraId="4512FD67">
      <w:p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第2章：规范性引用文件。列出了本文件引用的国家标准与技术规程，包括安全、环境、测量、软件质量等方面的标准，构成文件实施的技术依据。</w:t>
      </w:r>
    </w:p>
    <w:p w14:paraId="0BD983F5">
      <w:p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第3章：术语和定义。界定了“体外循环模拟系统”“模拟循环回路”“模拟血液”三个关键术语，为后续技术内容提供统一的术语基础。</w:t>
      </w:r>
    </w:p>
    <w:p w14:paraId="3F26AB14">
      <w:p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第4章：系统组成及功能。</w:t>
      </w:r>
      <w:r>
        <w:rPr>
          <w:rFonts w:hint="default" w:ascii="仿宋" w:hAnsi="仿宋" w:eastAsia="仿宋" w:cs="仿宋"/>
          <w:color w:val="000000"/>
          <w:kern w:val="0"/>
          <w:sz w:val="28"/>
          <w:szCs w:val="28"/>
          <w:lang w:val="en-US" w:eastAsia="zh-CN" w:bidi="ar"/>
        </w:rPr>
        <w:t>说明了系统由模拟循环回路、驱动装置、参数监测、控制模块、血液循环模块和辅助模块六大部分组成，并规定了各部分的构成、材料要求与功能</w:t>
      </w:r>
      <w:r>
        <w:rPr>
          <w:rFonts w:hint="eastAsia" w:ascii="仿宋" w:hAnsi="仿宋" w:eastAsia="仿宋" w:cs="仿宋"/>
          <w:color w:val="000000"/>
          <w:kern w:val="0"/>
          <w:sz w:val="28"/>
          <w:szCs w:val="28"/>
          <w:lang w:val="en-US" w:eastAsia="zh-CN" w:bidi="ar"/>
        </w:rPr>
        <w:t>。</w:t>
      </w:r>
    </w:p>
    <w:p w14:paraId="44517D68">
      <w:p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第5章：技术要求。</w:t>
      </w:r>
      <w:r>
        <w:rPr>
          <w:rFonts w:hint="default" w:ascii="仿宋" w:hAnsi="仿宋" w:eastAsia="仿宋" w:cs="仿宋"/>
          <w:color w:val="000000"/>
          <w:kern w:val="0"/>
          <w:sz w:val="28"/>
          <w:szCs w:val="28"/>
          <w:lang w:val="en-US" w:eastAsia="zh-CN" w:bidi="ar"/>
        </w:rPr>
        <w:t>规定了系统的基本要求、模拟模式（成人与儿童，含多种病理状态）、监测参数范围与精度、可靠性、电气与生物安全及环境适应性等核心性能指标。</w:t>
      </w:r>
    </w:p>
    <w:p w14:paraId="54EBF8A7">
      <w:pPr>
        <w:ind w:firstLine="560" w:firstLineChars="20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第6章：试验方法。</w:t>
      </w:r>
      <w:r>
        <w:rPr>
          <w:rFonts w:hint="default" w:ascii="仿宋" w:hAnsi="仿宋" w:eastAsia="仿宋" w:cs="仿宋"/>
          <w:color w:val="000000"/>
          <w:kern w:val="0"/>
          <w:sz w:val="28"/>
          <w:szCs w:val="28"/>
          <w:lang w:val="en-US" w:eastAsia="zh-CN" w:bidi="ar"/>
        </w:rPr>
        <w:t>详细说明了各项技术要求的验证方法，包括试验条件、设备、试样准备以及针对外观、模式、参数、可靠性、安全性与环境适应性的具体测试步骤。</w:t>
      </w:r>
    </w:p>
    <w:p w14:paraId="354322B1">
      <w:p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第7章：</w:t>
      </w:r>
      <w:r>
        <w:rPr>
          <w:rFonts w:hint="default" w:ascii="仿宋" w:hAnsi="仿宋" w:eastAsia="仿宋" w:cs="仿宋"/>
          <w:color w:val="000000"/>
          <w:kern w:val="0"/>
          <w:sz w:val="28"/>
          <w:szCs w:val="28"/>
          <w:lang w:val="en-US" w:eastAsia="zh-CN" w:bidi="ar"/>
        </w:rPr>
        <w:t>检验规则</w:t>
      </w:r>
      <w:r>
        <w:rPr>
          <w:rFonts w:hint="eastAsia" w:ascii="仿宋" w:hAnsi="仿宋" w:eastAsia="仿宋" w:cs="仿宋"/>
          <w:color w:val="000000"/>
          <w:kern w:val="0"/>
          <w:sz w:val="28"/>
          <w:szCs w:val="28"/>
          <w:lang w:val="en-US" w:eastAsia="zh-CN" w:bidi="ar"/>
        </w:rPr>
        <w:t>。</w:t>
      </w:r>
      <w:r>
        <w:rPr>
          <w:rFonts w:hint="default" w:ascii="仿宋" w:hAnsi="仿宋" w:eastAsia="仿宋" w:cs="仿宋"/>
          <w:color w:val="000000"/>
          <w:kern w:val="0"/>
          <w:sz w:val="28"/>
          <w:szCs w:val="28"/>
          <w:lang w:val="en-US" w:eastAsia="zh-CN" w:bidi="ar"/>
        </w:rPr>
        <w:t>明确了检验分为出厂检验和型式检验，规定了检验项目、适用情形及判定规则，确保产品出厂及定期质量可控</w:t>
      </w:r>
      <w:r>
        <w:rPr>
          <w:rFonts w:hint="eastAsia" w:ascii="仿宋" w:hAnsi="仿宋" w:eastAsia="仿宋" w:cs="仿宋"/>
          <w:color w:val="000000"/>
          <w:kern w:val="0"/>
          <w:sz w:val="28"/>
          <w:szCs w:val="28"/>
          <w:lang w:val="en-US" w:eastAsia="zh-CN" w:bidi="ar"/>
        </w:rPr>
        <w:t>。</w:t>
      </w:r>
    </w:p>
    <w:p w14:paraId="1DB109A4">
      <w:p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第8章：标志、包装、运输及贮存。</w:t>
      </w:r>
      <w:r>
        <w:rPr>
          <w:rFonts w:hint="default" w:ascii="仿宋" w:hAnsi="仿宋" w:eastAsia="仿宋" w:cs="仿宋"/>
          <w:color w:val="000000"/>
          <w:kern w:val="0"/>
          <w:sz w:val="28"/>
          <w:szCs w:val="28"/>
          <w:lang w:val="en-US" w:eastAsia="zh-CN" w:bidi="ar"/>
        </w:rPr>
        <w:t>对产品标志内容、包装材料与方式、运输条件及贮存环境提出了具体要求，保障产品在流通过程中的识别性、安全性与完好性</w:t>
      </w:r>
      <w:r>
        <w:rPr>
          <w:rFonts w:hint="eastAsia" w:ascii="仿宋" w:hAnsi="仿宋" w:eastAsia="仿宋" w:cs="仿宋"/>
          <w:color w:val="000000"/>
          <w:kern w:val="0"/>
          <w:sz w:val="28"/>
          <w:szCs w:val="28"/>
          <w:lang w:val="en-US" w:eastAsia="zh-CN" w:bidi="ar"/>
        </w:rPr>
        <w:t>。</w:t>
      </w:r>
    </w:p>
    <w:p w14:paraId="5045674D">
      <w:pPr>
        <w:ind w:firstLine="560" w:firstLineChars="20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附录A（规范性） 模拟血液理化特性要求。</w:t>
      </w:r>
      <w:r>
        <w:rPr>
          <w:rFonts w:hint="default" w:ascii="仿宋" w:hAnsi="仿宋" w:eastAsia="仿宋" w:cs="仿宋"/>
          <w:color w:val="000000"/>
          <w:kern w:val="0"/>
          <w:sz w:val="28"/>
          <w:szCs w:val="28"/>
          <w:lang w:val="en-US" w:eastAsia="zh-CN" w:bidi="ar"/>
        </w:rPr>
        <w:t>规定了系统中使用的模拟血液在黏度、密度、pH值和渗透压方面的具体指标要求及对应的试验方法标准。</w:t>
      </w:r>
    </w:p>
    <w:p w14:paraId="700333FD">
      <w:pPr>
        <w:pStyle w:val="10"/>
        <w:rPr>
          <w:rFonts w:hint="eastAsia"/>
          <w:lang w:val="en-US" w:eastAsia="zh-CN"/>
        </w:rPr>
      </w:pPr>
    </w:p>
    <w:p w14:paraId="5276EE34">
      <w:pPr>
        <w:pStyle w:val="10"/>
        <w:numPr>
          <w:ilvl w:val="0"/>
          <w:numId w:val="0"/>
        </w:numP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三、主要试验（或验证）情况</w:t>
      </w:r>
    </w:p>
    <w:p w14:paraId="24675907">
      <w:p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关于本标准的主要试验（或验证）情况包括以下方面：</w:t>
      </w:r>
    </w:p>
    <w:p w14:paraId="5BE50D9B">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1.性能参数验证</w:t>
      </w:r>
    </w:p>
    <w:p w14:paraId="28B698FE">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针对系统核心功能，通过连接标准数字压力计、涡轮流量计、铂电阻温度计、pH计等精密仪器，对收缩压、舒张压、心率、心输出量</w:t>
      </w:r>
      <w:bookmarkStart w:id="0" w:name="_GoBack"/>
      <w:bookmarkEnd w:id="0"/>
      <w:r>
        <w:rPr>
          <w:rFonts w:hint="default" w:ascii="仿宋" w:hAnsi="仿宋" w:eastAsia="仿宋" w:cs="仿宋"/>
          <w:color w:val="000000"/>
          <w:kern w:val="0"/>
          <w:sz w:val="28"/>
          <w:szCs w:val="28"/>
          <w:lang w:val="en-US" w:eastAsia="zh-CN" w:bidi="ar"/>
        </w:rPr>
        <w:t>等8项关键监测参数的监测范围与精度进行了逐项校准与测试，确保数据准确可靠。</w:t>
      </w:r>
    </w:p>
    <w:p w14:paraId="2DD0C7DB">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w:t>
      </w:r>
      <w:r>
        <w:rPr>
          <w:rFonts w:hint="default" w:ascii="仿宋" w:hAnsi="仿宋" w:eastAsia="仿宋" w:cs="仿宋"/>
          <w:color w:val="000000"/>
          <w:kern w:val="0"/>
          <w:sz w:val="28"/>
          <w:szCs w:val="28"/>
          <w:lang w:val="en-US" w:eastAsia="zh-CN" w:bidi="ar"/>
        </w:rPr>
        <w:t>模拟模式验证</w:t>
      </w:r>
    </w:p>
    <w:p w14:paraId="171F8A32">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通过在实际操作中依次切换正常生理模式及高血压、低血压、心动过速、心动过缓、低心输出量等至少5种病理模式，并稳定运行记录数据，验证了系统在不同人群（成人、儿童）下各生理参数的模拟能力是否符合规定的范围。</w:t>
      </w:r>
    </w:p>
    <w:p w14:paraId="0F683DD9">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w:t>
      </w:r>
      <w:r>
        <w:rPr>
          <w:rFonts w:hint="default" w:ascii="仿宋" w:hAnsi="仿宋" w:eastAsia="仿宋" w:cs="仿宋"/>
          <w:color w:val="000000"/>
          <w:kern w:val="0"/>
          <w:sz w:val="28"/>
          <w:szCs w:val="28"/>
          <w:lang w:val="en-US" w:eastAsia="zh-CN" w:bidi="ar"/>
        </w:rPr>
        <w:t>可靠性与稳定性验证</w:t>
      </w:r>
    </w:p>
    <w:p w14:paraId="0ECCD78E">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通过设置系统在“正常生理模式（成人）”下连续运行24小时，并定时记录核心参数，验证了系统在长期运行过程中无参数漂移、部件故障或功能失效，确保其工作的持续稳定性。</w:t>
      </w:r>
    </w:p>
    <w:p w14:paraId="510A6426">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w:t>
      </w:r>
      <w:r>
        <w:rPr>
          <w:rFonts w:hint="default" w:ascii="仿宋" w:hAnsi="仿宋" w:eastAsia="仿宋" w:cs="仿宋"/>
          <w:color w:val="000000"/>
          <w:kern w:val="0"/>
          <w:sz w:val="28"/>
          <w:szCs w:val="28"/>
          <w:lang w:val="en-US" w:eastAsia="zh-CN" w:bidi="ar"/>
        </w:rPr>
        <w:t>安全性与合规性验证</w:t>
      </w:r>
    </w:p>
    <w:p w14:paraId="0158FD4E">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依据引用的国家强制标准与通用要求，对系统的电气安全（依据GB 9706.1）和生物安全（皮肤致敏试验，依据GB/T 16886.10）进行了严格测试，确保设备使用安全。</w:t>
      </w:r>
    </w:p>
    <w:p w14:paraId="662D523C">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5.</w:t>
      </w:r>
      <w:r>
        <w:rPr>
          <w:rFonts w:hint="default" w:ascii="仿宋" w:hAnsi="仿宋" w:eastAsia="仿宋" w:cs="仿宋"/>
          <w:color w:val="000000"/>
          <w:kern w:val="0"/>
          <w:sz w:val="28"/>
          <w:szCs w:val="28"/>
          <w:lang w:val="en-US" w:eastAsia="zh-CN" w:bidi="ar"/>
        </w:rPr>
        <w:t>环境适应性验证</w:t>
      </w:r>
    </w:p>
    <w:p w14:paraId="18607F26">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依据相关国家标准，对系统进行了低温、高温、恒定湿热试验，并测试了其在规定电压和频率波动范围内的启动与运行稳定性，验证了其在预期的环境条件下的正常工作能力。</w:t>
      </w:r>
    </w:p>
    <w:p w14:paraId="4449B1BE">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6.</w:t>
      </w:r>
      <w:r>
        <w:rPr>
          <w:rFonts w:hint="default" w:ascii="仿宋" w:hAnsi="仿宋" w:eastAsia="仿宋" w:cs="仿宋"/>
          <w:color w:val="000000"/>
          <w:kern w:val="0"/>
          <w:sz w:val="28"/>
          <w:szCs w:val="28"/>
          <w:lang w:val="en-US" w:eastAsia="zh-CN" w:bidi="ar"/>
        </w:rPr>
        <w:t>模拟血液特性验证</w:t>
      </w:r>
    </w:p>
    <w:p w14:paraId="56529763">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依据附录A的规定，对模拟血液的关键理化特性（黏度、密度、pH值、渗透压）的测定方法进行了规范，确保用于测试的介质本身符合“生理级”模拟的要求。</w:t>
      </w:r>
    </w:p>
    <w:p w14:paraId="4812E706">
      <w:pPr>
        <w:numPr>
          <w:ilvl w:val="0"/>
          <w:numId w:val="0"/>
        </w:numPr>
        <w:ind w:leftChars="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四、标准中涉及专利的情况</w:t>
      </w:r>
    </w:p>
    <w:p w14:paraId="3D8F2235">
      <w:pPr>
        <w:numPr>
          <w:ilvl w:val="0"/>
          <w:numId w:val="0"/>
        </w:numPr>
        <w:ind w:leftChars="0"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本标准不涉及专利问题。</w:t>
      </w:r>
    </w:p>
    <w:p w14:paraId="7B7439CD">
      <w:pPr>
        <w:numPr>
          <w:ilvl w:val="0"/>
          <w:numId w:val="0"/>
        </w:numPr>
        <w:ind w:leftChars="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五、预期达到的社会效益及对产业发展的作用</w:t>
      </w:r>
    </w:p>
    <w:p w14:paraId="06AC9C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280" w:firstLineChars="100"/>
        <w:jc w:val="left"/>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（一）预期社会效益</w:t>
      </w:r>
    </w:p>
    <w:p w14:paraId="56CBCF2E">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w:t>
      </w:r>
      <w:r>
        <w:rPr>
          <w:rFonts w:hint="default" w:ascii="仿宋" w:hAnsi="仿宋" w:eastAsia="仿宋" w:cs="仿宋"/>
          <w:color w:val="000000"/>
          <w:kern w:val="0"/>
          <w:sz w:val="28"/>
          <w:szCs w:val="28"/>
          <w:lang w:val="en-US" w:eastAsia="zh-CN" w:bidi="ar"/>
        </w:rPr>
        <w:t>提升公共健康安全保障</w:t>
      </w:r>
    </w:p>
    <w:p w14:paraId="1E569257">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通过规范体外循环模拟系统的性能与安全性，为心血管介入器械、人工心脏等高风险医疗器械的研发与临床前测试提供可靠、统一的评价平台，从源头上降低因产品设计缺陷导致的临床风险，最终保障患者生命安全。</w:t>
      </w:r>
    </w:p>
    <w:p w14:paraId="6204ABF4">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w:t>
      </w:r>
      <w:r>
        <w:rPr>
          <w:rFonts w:hint="default" w:ascii="仿宋" w:hAnsi="仿宋" w:eastAsia="仿宋" w:cs="仿宋"/>
          <w:color w:val="000000"/>
          <w:kern w:val="0"/>
          <w:sz w:val="28"/>
          <w:szCs w:val="28"/>
          <w:lang w:val="en-US" w:eastAsia="zh-CN" w:bidi="ar"/>
        </w:rPr>
        <w:t>促进医学人才培养与教学质量提升</w:t>
      </w:r>
    </w:p>
    <w:p w14:paraId="73F43171">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标准化的高性能模拟系统可为医学院校、培训机构提供高度仿真的教学与实践环境，使医学生和临床医师能在无风险的条件下进行手术技能训练和应急演练，加速高素质、实战型医疗人才的培养。</w:t>
      </w:r>
    </w:p>
    <w:p w14:paraId="3B2BDC76">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w:t>
      </w:r>
      <w:r>
        <w:rPr>
          <w:rFonts w:hint="default" w:ascii="仿宋" w:hAnsi="仿宋" w:eastAsia="仿宋" w:cs="仿宋"/>
          <w:color w:val="000000"/>
          <w:kern w:val="0"/>
          <w:sz w:val="28"/>
          <w:szCs w:val="28"/>
          <w:lang w:val="en-US" w:eastAsia="zh-CN" w:bidi="ar"/>
        </w:rPr>
        <w:t>推动科研严谨性与成果转化</w:t>
      </w:r>
    </w:p>
    <w:p w14:paraId="0F91FF01">
      <w:pPr>
        <w:ind w:firstLine="560" w:firstLineChars="2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为心血管生理、病理研究及新型治疗方法探索提供了可重复、可比较的标准化实验工具，能有效提升科学研究的严谨性与数据可信度，加速前沿科研成果向临床应用的转化。</w:t>
      </w:r>
    </w:p>
    <w:p w14:paraId="704FEBE5">
      <w:pPr>
        <w:ind w:firstLine="560" w:firstLineChars="2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（二）对产业发展的作用</w:t>
      </w:r>
    </w:p>
    <w:p w14:paraId="28ABBDB6">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w:t>
      </w:r>
      <w:r>
        <w:rPr>
          <w:rFonts w:hint="default" w:ascii="仿宋" w:hAnsi="仿宋" w:eastAsia="仿宋" w:cs="仿宋"/>
          <w:color w:val="000000"/>
          <w:kern w:val="0"/>
          <w:sz w:val="28"/>
          <w:szCs w:val="28"/>
          <w:lang w:val="en-US" w:eastAsia="zh-CN" w:bidi="ar"/>
        </w:rPr>
        <w:t>规范与引领产业高质量发展</w:t>
      </w:r>
    </w:p>
    <w:p w14:paraId="0886583A">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该标准填补了体外循环模拟系统领域技术规范的空白，为产品设计、生产制造和质量控制提供了明确的技术依据，有助于结束市场产品良莠不齐的局面，引导产业走向高标准、高质量的发展道路。</w:t>
      </w:r>
    </w:p>
    <w:p w14:paraId="19E571A9">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w:t>
      </w:r>
      <w:r>
        <w:rPr>
          <w:rFonts w:hint="default" w:ascii="仿宋" w:hAnsi="仿宋" w:eastAsia="仿宋" w:cs="仿宋"/>
          <w:color w:val="000000"/>
          <w:kern w:val="0"/>
          <w:sz w:val="28"/>
          <w:szCs w:val="28"/>
          <w:lang w:val="en-US" w:eastAsia="zh-CN" w:bidi="ar"/>
        </w:rPr>
        <w:t>增强产业链协同与创新能力</w:t>
      </w:r>
    </w:p>
    <w:p w14:paraId="23738F9D">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标准的建立明确了核心模块的技术要求和接口规范，促进了上下游企业（如传感器、精密泵、软件、材料等）在统一的技术框架下协同研发与配套，降低了系统集成难度，从而激发全产业链的技术创新活力。</w:t>
      </w:r>
    </w:p>
    <w:p w14:paraId="2373C13A">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w:t>
      </w:r>
      <w:r>
        <w:rPr>
          <w:rFonts w:hint="default" w:ascii="仿宋" w:hAnsi="仿宋" w:eastAsia="仿宋" w:cs="仿宋"/>
          <w:color w:val="000000"/>
          <w:kern w:val="0"/>
          <w:sz w:val="28"/>
          <w:szCs w:val="28"/>
          <w:lang w:val="en-US" w:eastAsia="zh-CN" w:bidi="ar"/>
        </w:rPr>
        <w:t>提升国产设备核心竞争力与国际影响力</w:t>
      </w:r>
    </w:p>
    <w:p w14:paraId="2FAE9E74">
      <w:pPr>
        <w:ind w:firstLine="560" w:firstLineChars="2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通过确立先进、科学的技术指标，推动国内生产企业技术升级，打造性能优异、安全可靠的国产高端模拟系统品牌，不仅能够逐步实现进口替代，更有助于增强我国在该领域的国际话语权和市场竞争力。</w:t>
      </w:r>
    </w:p>
    <w:p w14:paraId="7537E3F9">
      <w:pP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六、与国内、国外对比情况</w:t>
      </w:r>
    </w:p>
    <w:p w14:paraId="05AA3417">
      <w:p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本标准没有采用国际标准。</w:t>
      </w:r>
    </w:p>
    <w:p w14:paraId="32FE8CDF">
      <w:p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本标准水平为国内先进水平。</w:t>
      </w:r>
    </w:p>
    <w:p w14:paraId="061109DA">
      <w:pPr>
        <w:numPr>
          <w:ilvl w:val="0"/>
          <w:numId w:val="0"/>
        </w:numP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七、与现行相关法律法规、规章及相关标准，特别是强制性标准的协调性</w:t>
      </w:r>
    </w:p>
    <w:p w14:paraId="0EDC5EB9">
      <w:pPr>
        <w:numPr>
          <w:ilvl w:val="0"/>
          <w:numId w:val="0"/>
        </w:num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本标准与现行相关法律法规、规章及相关标准协调一致。</w:t>
      </w:r>
    </w:p>
    <w:p w14:paraId="39AB307A">
      <w:pPr>
        <w:numPr>
          <w:ilvl w:val="0"/>
          <w:numId w:val="0"/>
        </w:numP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八、重大分歧意见的处理经过和依据</w:t>
      </w:r>
    </w:p>
    <w:p w14:paraId="3432C37F">
      <w:pPr>
        <w:numPr>
          <w:ilvl w:val="0"/>
          <w:numId w:val="0"/>
        </w:numP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     无。</w:t>
      </w:r>
    </w:p>
    <w:p w14:paraId="280BE952">
      <w:pPr>
        <w:numPr>
          <w:ilvl w:val="0"/>
          <w:numId w:val="0"/>
        </w:numP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九、标准性质的建议说明</w:t>
      </w:r>
    </w:p>
    <w:p w14:paraId="405B7B9A">
      <w:pPr>
        <w:numPr>
          <w:ilvl w:val="0"/>
          <w:numId w:val="0"/>
        </w:num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本标准的性质为团体标准。</w:t>
      </w:r>
    </w:p>
    <w:p w14:paraId="60DAD164">
      <w:pPr>
        <w:numPr>
          <w:ilvl w:val="0"/>
          <w:numId w:val="0"/>
        </w:numP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十、贯彻标准的要求和措施建议</w:t>
      </w:r>
    </w:p>
    <w:p w14:paraId="26C3BE73">
      <w:pPr>
        <w:numPr>
          <w:ilvl w:val="0"/>
          <w:numId w:val="0"/>
        </w:numPr>
        <w:ind w:firstLine="560" w:firstLineChars="200"/>
        <w:rPr>
          <w:rFonts w:hint="eastAsia"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建议本文件批准发布</w:t>
      </w:r>
      <w:r>
        <w:rPr>
          <w:rFonts w:hint="eastAsia" w:ascii="仿宋" w:hAnsi="仿宋" w:eastAsia="仿宋" w:cs="仿宋"/>
          <w:color w:val="000000"/>
          <w:kern w:val="0"/>
          <w:sz w:val="28"/>
          <w:szCs w:val="28"/>
          <w:lang w:val="en-US" w:eastAsia="zh-CN" w:bidi="ar"/>
        </w:rPr>
        <w:t>1</w:t>
      </w:r>
      <w:r>
        <w:rPr>
          <w:rFonts w:hint="default" w:ascii="仿宋" w:hAnsi="仿宋" w:eastAsia="仿宋" w:cs="仿宋"/>
          <w:color w:val="000000"/>
          <w:kern w:val="0"/>
          <w:sz w:val="28"/>
          <w:szCs w:val="28"/>
          <w:lang w:val="en-US" w:eastAsia="zh-CN" w:bidi="ar"/>
        </w:rPr>
        <w:t>个月后实施</w:t>
      </w:r>
      <w:r>
        <w:rPr>
          <w:rFonts w:hint="eastAsia" w:ascii="仿宋" w:hAnsi="仿宋" w:eastAsia="仿宋" w:cs="仿宋"/>
          <w:color w:val="000000"/>
          <w:kern w:val="0"/>
          <w:sz w:val="28"/>
          <w:szCs w:val="28"/>
          <w:lang w:val="en-US" w:eastAsia="zh-CN" w:bidi="ar"/>
        </w:rPr>
        <w:t>。</w:t>
      </w:r>
    </w:p>
    <w:p w14:paraId="25CE6448">
      <w:pPr>
        <w:numPr>
          <w:ilvl w:val="0"/>
          <w:numId w:val="0"/>
        </w:numP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十一、废止现行相关标准的建议</w:t>
      </w:r>
    </w:p>
    <w:p w14:paraId="53F40B84">
      <w:pPr>
        <w:numPr>
          <w:ilvl w:val="0"/>
          <w:numId w:val="0"/>
        </w:numPr>
        <w:ind w:left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  无。</w:t>
      </w:r>
    </w:p>
    <w:p w14:paraId="2EE6DC00">
      <w:pPr>
        <w:numPr>
          <w:ilvl w:val="0"/>
          <w:numId w:val="0"/>
        </w:numP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十二、其他应予说明的事项</w:t>
      </w:r>
    </w:p>
    <w:p w14:paraId="2A068E06">
      <w:pPr>
        <w:numPr>
          <w:ilvl w:val="0"/>
          <w:numId w:val="0"/>
        </w:numPr>
        <w:ind w:leftChars="20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  无其他应予说明的事项。</w:t>
      </w:r>
    </w:p>
    <w:p w14:paraId="5352F95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F0B88"/>
    <w:multiLevelType w:val="singleLevel"/>
    <w:tmpl w:val="AAFF0B88"/>
    <w:lvl w:ilvl="0" w:tentative="0">
      <w:start w:val="1"/>
      <w:numFmt w:val="decimal"/>
      <w:lvlText w:val="%1."/>
      <w:lvlJc w:val="left"/>
      <w:pPr>
        <w:tabs>
          <w:tab w:val="left" w:pos="312"/>
        </w:tabs>
      </w:pPr>
    </w:lvl>
  </w:abstractNum>
  <w:abstractNum w:abstractNumId="1">
    <w:nsid w:val="375F036B"/>
    <w:multiLevelType w:val="singleLevel"/>
    <w:tmpl w:val="375F036B"/>
    <w:lvl w:ilvl="0" w:tentative="0">
      <w:start w:val="1"/>
      <w:numFmt w:val="chineseCounting"/>
      <w:suff w:val="nothing"/>
      <w:lvlText w:val="%1、"/>
      <w:lvlJc w:val="left"/>
      <w:rPr>
        <w:rFonts w:hint="eastAsia"/>
      </w:rPr>
    </w:lvl>
  </w:abstractNum>
  <w:abstractNum w:abstractNumId="2">
    <w:nsid w:val="657D3FBC"/>
    <w:multiLevelType w:val="multilevel"/>
    <w:tmpl w:val="657D3FBC"/>
    <w:lvl w:ilvl="0" w:tentative="0">
      <w:start w:val="1"/>
      <w:numFmt w:val="upperLetter"/>
      <w:pStyle w:val="13"/>
      <w:suff w:val="nothing"/>
      <w:lvlText w:val="附录%1"/>
      <w:lvlJc w:val="left"/>
      <w:pPr>
        <w:ind w:left="0" w:firstLine="0"/>
      </w:pPr>
      <w:rPr>
        <w:rFonts w:hint="eastAsia"/>
        <w:spacing w:val="100"/>
      </w:rPr>
    </w:lvl>
    <w:lvl w:ilvl="1" w:tentative="0">
      <w:start w:val="1"/>
      <w:numFmt w:val="decimal"/>
      <w:suff w:val="nothing"/>
      <w:lvlText w:val="%1.%2　"/>
      <w:lvlJc w:val="left"/>
      <w:pPr>
        <w:ind w:left="1134"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5"/>
      <w:suff w:val="nothing"/>
      <w:lvlText w:val="%1%2　"/>
      <w:lvlJc w:val="left"/>
      <w:pPr>
        <w:ind w:left="0" w:firstLine="0"/>
      </w:pPr>
      <w:rPr>
        <w:rFonts w:hint="eastAsia" w:ascii="黑体" w:eastAsia="黑体"/>
        <w:b w:val="0"/>
        <w:i w:val="0"/>
        <w:sz w:val="21"/>
      </w:rPr>
    </w:lvl>
    <w:lvl w:ilvl="2" w:tentative="0">
      <w:start w:val="1"/>
      <w:numFmt w:val="decimal"/>
      <w:pStyle w:val="14"/>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2"/>
      <w:suff w:val="nothing"/>
      <w:lvlText w:val="%1%2.%3.%4　"/>
      <w:lvlJc w:val="left"/>
      <w:pPr>
        <w:ind w:left="1134" w:firstLine="0"/>
      </w:pPr>
      <w:rPr>
        <w:rFonts w:hint="eastAsia" w:ascii="黑体" w:eastAsia="黑体"/>
        <w:b w:val="0"/>
        <w:i w:val="0"/>
        <w:sz w:val="21"/>
      </w:rPr>
    </w:lvl>
    <w:lvl w:ilvl="4" w:tentative="0">
      <w:start w:val="1"/>
      <w:numFmt w:val="decimal"/>
      <w:pStyle w:val="11"/>
      <w:suff w:val="nothing"/>
      <w:lvlText w:val="%1%2.%3.%4.%5　"/>
      <w:lvlJc w:val="left"/>
      <w:pPr>
        <w:ind w:left="2551"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I3OTRlNTA1NjUwZGY1NGI3NTM4NWZhMGI4N2IifQ=="/>
  </w:docVars>
  <w:rsids>
    <w:rsidRoot w:val="36785A84"/>
    <w:rsid w:val="00732204"/>
    <w:rsid w:val="00AA3CEC"/>
    <w:rsid w:val="03E272F9"/>
    <w:rsid w:val="06B162BA"/>
    <w:rsid w:val="079F390A"/>
    <w:rsid w:val="07F910B5"/>
    <w:rsid w:val="0B0C7351"/>
    <w:rsid w:val="0BCE7568"/>
    <w:rsid w:val="0D6A3EDB"/>
    <w:rsid w:val="0F2F7645"/>
    <w:rsid w:val="0F8C0A60"/>
    <w:rsid w:val="0FE706B3"/>
    <w:rsid w:val="10E8616A"/>
    <w:rsid w:val="10F25E57"/>
    <w:rsid w:val="114415F3"/>
    <w:rsid w:val="11625F1D"/>
    <w:rsid w:val="11D72467"/>
    <w:rsid w:val="1348588F"/>
    <w:rsid w:val="13F72568"/>
    <w:rsid w:val="16176ECF"/>
    <w:rsid w:val="161F6F26"/>
    <w:rsid w:val="16A9014A"/>
    <w:rsid w:val="186C48D3"/>
    <w:rsid w:val="18C223C4"/>
    <w:rsid w:val="191A0CB5"/>
    <w:rsid w:val="1AA2738A"/>
    <w:rsid w:val="1BFE4A94"/>
    <w:rsid w:val="1D3614FA"/>
    <w:rsid w:val="1E6905F2"/>
    <w:rsid w:val="1F225822"/>
    <w:rsid w:val="1FED58B5"/>
    <w:rsid w:val="200060AE"/>
    <w:rsid w:val="21EC722B"/>
    <w:rsid w:val="229E497C"/>
    <w:rsid w:val="250E3F9A"/>
    <w:rsid w:val="26451C3D"/>
    <w:rsid w:val="27820E2A"/>
    <w:rsid w:val="28DF3005"/>
    <w:rsid w:val="2A2E4796"/>
    <w:rsid w:val="2E1176FC"/>
    <w:rsid w:val="2F8961C3"/>
    <w:rsid w:val="33E10ACB"/>
    <w:rsid w:val="354F3741"/>
    <w:rsid w:val="361D6B92"/>
    <w:rsid w:val="36785A84"/>
    <w:rsid w:val="389E51DD"/>
    <w:rsid w:val="39DA2245"/>
    <w:rsid w:val="3AAA7E69"/>
    <w:rsid w:val="3AFC78C5"/>
    <w:rsid w:val="3BD83F86"/>
    <w:rsid w:val="3BD90AEE"/>
    <w:rsid w:val="3C640993"/>
    <w:rsid w:val="3D18555E"/>
    <w:rsid w:val="3EDB4A95"/>
    <w:rsid w:val="41911D83"/>
    <w:rsid w:val="41CC2DBB"/>
    <w:rsid w:val="436D4129"/>
    <w:rsid w:val="46472C0D"/>
    <w:rsid w:val="46B60FA8"/>
    <w:rsid w:val="46C6118A"/>
    <w:rsid w:val="47E164DE"/>
    <w:rsid w:val="492258A8"/>
    <w:rsid w:val="4989327C"/>
    <w:rsid w:val="4A656FDB"/>
    <w:rsid w:val="4B72052F"/>
    <w:rsid w:val="4BD034A7"/>
    <w:rsid w:val="4C34134A"/>
    <w:rsid w:val="4E30022D"/>
    <w:rsid w:val="51CC5275"/>
    <w:rsid w:val="53262767"/>
    <w:rsid w:val="53285977"/>
    <w:rsid w:val="54316F16"/>
    <w:rsid w:val="56D17A25"/>
    <w:rsid w:val="58050C3F"/>
    <w:rsid w:val="5D6464CA"/>
    <w:rsid w:val="5D881E34"/>
    <w:rsid w:val="5F24793A"/>
    <w:rsid w:val="5F4D1996"/>
    <w:rsid w:val="60C90799"/>
    <w:rsid w:val="62D874D1"/>
    <w:rsid w:val="635B58F5"/>
    <w:rsid w:val="636F54AF"/>
    <w:rsid w:val="66A80E51"/>
    <w:rsid w:val="66CC325D"/>
    <w:rsid w:val="6A47355E"/>
    <w:rsid w:val="6A6257BB"/>
    <w:rsid w:val="6BF84629"/>
    <w:rsid w:val="6CC16FAD"/>
    <w:rsid w:val="6D995997"/>
    <w:rsid w:val="706155B2"/>
    <w:rsid w:val="70841098"/>
    <w:rsid w:val="73CA1587"/>
    <w:rsid w:val="73DE2356"/>
    <w:rsid w:val="740F250F"/>
    <w:rsid w:val="744F5002"/>
    <w:rsid w:val="766A7ED1"/>
    <w:rsid w:val="779C230C"/>
    <w:rsid w:val="780954C8"/>
    <w:rsid w:val="79FA5A10"/>
    <w:rsid w:val="7A514736"/>
    <w:rsid w:val="7B4038F6"/>
    <w:rsid w:val="7DFC3B04"/>
    <w:rsid w:val="7E7A5E41"/>
    <w:rsid w:val="7F483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header"/>
    <w:basedOn w:val="1"/>
    <w:unhideWhenUsed/>
    <w:qFormat/>
    <w:uiPriority w:val="99"/>
    <w:pPr>
      <w:tabs>
        <w:tab w:val="center" w:pos="4153"/>
        <w:tab w:val="right" w:pos="8306"/>
      </w:tabs>
      <w:snapToGrid w:val="0"/>
      <w:jc w:val="center"/>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Emphasis"/>
    <w:basedOn w:val="6"/>
    <w:autoRedefine/>
    <w:qFormat/>
    <w:uiPriority w:val="0"/>
    <w:rPr>
      <w:i/>
    </w:rPr>
  </w:style>
  <w:style w:type="character" w:styleId="9">
    <w:name w:val="Hyperlink"/>
    <w:autoRedefine/>
    <w:qFormat/>
    <w:uiPriority w:val="99"/>
    <w:rPr>
      <w:rFonts w:ascii="宋体" w:hAnsi="Times New Roman" w:eastAsia="宋体"/>
      <w:color w:val="auto"/>
      <w:spacing w:val="0"/>
      <w:w w:val="100"/>
      <w:position w:val="0"/>
      <w:sz w:val="21"/>
      <w:u w:val="none"/>
    </w:rPr>
  </w:style>
  <w:style w:type="paragraph" w:customStyle="1" w:styleId="10">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
    <w:name w:val="标准文件_三级条标题"/>
    <w:basedOn w:val="12"/>
    <w:next w:val="10"/>
    <w:autoRedefine/>
    <w:qFormat/>
    <w:uiPriority w:val="0"/>
    <w:pPr>
      <w:widowControl/>
      <w:numPr>
        <w:ilvl w:val="4"/>
      </w:numPr>
      <w:ind w:left="0"/>
      <w:outlineLvl w:val="3"/>
    </w:pPr>
  </w:style>
  <w:style w:type="paragraph" w:customStyle="1" w:styleId="12">
    <w:name w:val="标准文件_二级条标题"/>
    <w:next w:val="10"/>
    <w:autoRedefine/>
    <w:qFormat/>
    <w:uiPriority w:val="0"/>
    <w:pPr>
      <w:widowControl w:val="0"/>
      <w:numPr>
        <w:ilvl w:val="3"/>
        <w:numId w:val="1"/>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13">
    <w:name w:val="标准文件_附录标识"/>
    <w:next w:val="10"/>
    <w:autoRedefine/>
    <w:qFormat/>
    <w:uiPriority w:val="0"/>
    <w:pPr>
      <w:numPr>
        <w:ilvl w:val="0"/>
        <w:numId w:val="2"/>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4">
    <w:name w:val="标准文件_一级条标题"/>
    <w:basedOn w:val="15"/>
    <w:next w:val="10"/>
    <w:qFormat/>
    <w:uiPriority w:val="0"/>
    <w:pPr>
      <w:numPr>
        <w:ilvl w:val="2"/>
      </w:numPr>
      <w:spacing w:before="50" w:beforeLines="50" w:after="50" w:afterLines="50"/>
      <w:outlineLvl w:val="1"/>
    </w:pPr>
  </w:style>
  <w:style w:type="paragraph" w:customStyle="1" w:styleId="15">
    <w:name w:val="标准文件_章标题"/>
    <w:next w:val="10"/>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3390</Words>
  <Characters>3475</Characters>
  <Lines>0</Lines>
  <Paragraphs>0</Paragraphs>
  <TotalTime>3</TotalTime>
  <ScaleCrop>false</ScaleCrop>
  <LinksUpToDate>false</LinksUpToDate>
  <CharactersWithSpaces>3491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2023-10-10T06:21:00Z</dcterms:created>
  <dc:creator>境由心生</dc:creator>
  <cp:lastModifiedBy>境由心生</cp:lastModifiedBy>
  <dcterms:modified xsi:type="dcterms:W3CDTF">2025-10-25T06:16:20Z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3070FE9D65DA4E8198B5645FBBA3DF98_13</vt:lpwstr>
  </property>
  <property fmtid="{D5CDD505-2E9C-101B-9397-08002B2CF9AE}" pid="4" name="KSOTemplateDocerSaveRecord">
    <vt:lpwstr>eyJoZGlkIjoiYTQ0OTE1YmY0MjFlMDRlZjFkYWM2YmVkMGE2MTQ0MzMiLCJ1c2VySWQiOiI5NDE1MzQzMDUifQ==</vt:lpwstr>
  </property>
</Properties>
</file>